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13"/>
        <w:tblW w:w="10075" w:type="dxa"/>
        <w:tblBorders>
          <w:bottom w:val="single" w:sz="4" w:space="0" w:color="auto"/>
        </w:tblBorders>
        <w:tblLayout w:type="fixed"/>
        <w:tblLook w:val="01E0" w:firstRow="1" w:lastRow="1" w:firstColumn="1" w:lastColumn="1" w:noHBand="0" w:noVBand="0"/>
      </w:tblPr>
      <w:tblGrid>
        <w:gridCol w:w="1156"/>
        <w:gridCol w:w="4622"/>
        <w:gridCol w:w="4297"/>
      </w:tblGrid>
      <w:tr w:rsidR="000C6177" w:rsidRPr="006D1D09" w:rsidTr="000C6177">
        <w:trPr>
          <w:trHeight w:val="1692"/>
        </w:trPr>
        <w:tc>
          <w:tcPr>
            <w:tcW w:w="1156" w:type="dxa"/>
          </w:tcPr>
          <w:p w:rsidR="000C6177" w:rsidRPr="006D1D09" w:rsidRDefault="000C6177" w:rsidP="000C6177">
            <w:pPr>
              <w:tabs>
                <w:tab w:val="center" w:pos="4536"/>
                <w:tab w:val="right" w:pos="9072"/>
              </w:tabs>
              <w:spacing w:after="0" w:line="240" w:lineRule="auto"/>
              <w:rPr>
                <w:rFonts w:ascii="Calibri" w:eastAsia="Times New Roman" w:hAnsi="Calibri" w:cs="Calibri"/>
                <w:sz w:val="24"/>
                <w:szCs w:val="24"/>
                <w:lang w:eastAsia="sl-SI"/>
              </w:rPr>
            </w:pPr>
          </w:p>
          <w:p w:rsidR="000C6177" w:rsidRPr="006D1D09" w:rsidRDefault="000C6177" w:rsidP="000C6177">
            <w:pPr>
              <w:spacing w:after="0" w:line="240" w:lineRule="auto"/>
              <w:rPr>
                <w:rFonts w:ascii="Calibri" w:eastAsia="Times New Roman" w:hAnsi="Calibri" w:cs="Calibri"/>
                <w:sz w:val="24"/>
                <w:szCs w:val="24"/>
                <w:lang w:eastAsia="sl-SI"/>
              </w:rPr>
            </w:pPr>
            <w:bookmarkStart w:id="0" w:name="zacetekGlava"/>
            <w:bookmarkEnd w:id="0"/>
            <w:r w:rsidRPr="006D1D09">
              <w:rPr>
                <w:rFonts w:ascii="Calibri" w:eastAsia="Times New Roman" w:hAnsi="Calibri" w:cs="Calibri"/>
                <w:noProof/>
                <w:sz w:val="24"/>
                <w:szCs w:val="24"/>
                <w:lang w:eastAsia="sl-SI"/>
              </w:rPr>
              <w:drawing>
                <wp:anchor distT="0" distB="0" distL="114300" distR="114300" simplePos="0" relativeHeight="251659264" behindDoc="0" locked="0" layoutInCell="1" allowOverlap="1" wp14:anchorId="274D0171" wp14:editId="503D2298">
                  <wp:simplePos x="0" y="0"/>
                  <wp:positionH relativeFrom="column">
                    <wp:posOffset>-92075</wp:posOffset>
                  </wp:positionH>
                  <wp:positionV relativeFrom="paragraph">
                    <wp:posOffset>52070</wp:posOffset>
                  </wp:positionV>
                  <wp:extent cx="768350" cy="890270"/>
                  <wp:effectExtent l="0" t="0" r="0" b="508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35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177" w:rsidRPr="006D1D09" w:rsidRDefault="000C6177" w:rsidP="000C6177">
            <w:pPr>
              <w:spacing w:after="0" w:line="240" w:lineRule="auto"/>
              <w:rPr>
                <w:rFonts w:ascii="Calibri" w:eastAsia="Times New Roman" w:hAnsi="Calibri" w:cs="Calibri"/>
                <w:sz w:val="24"/>
                <w:szCs w:val="24"/>
                <w:lang w:eastAsia="sl-SI"/>
              </w:rPr>
            </w:pPr>
          </w:p>
        </w:tc>
        <w:tc>
          <w:tcPr>
            <w:tcW w:w="4622" w:type="dxa"/>
          </w:tcPr>
          <w:p w:rsidR="000C6177" w:rsidRPr="006D1D09" w:rsidRDefault="000C6177" w:rsidP="000C6177">
            <w:pPr>
              <w:tabs>
                <w:tab w:val="center" w:pos="4536"/>
                <w:tab w:val="right" w:pos="9072"/>
              </w:tabs>
              <w:spacing w:after="0" w:line="240" w:lineRule="auto"/>
              <w:rPr>
                <w:rFonts w:ascii="Calibri" w:eastAsia="Times New Roman" w:hAnsi="Calibri" w:cs="Calibri"/>
                <w:sz w:val="24"/>
                <w:szCs w:val="24"/>
                <w:lang w:eastAsia="sl-SI"/>
              </w:rPr>
            </w:pPr>
          </w:p>
          <w:p w:rsidR="000C6177" w:rsidRPr="006D1D09" w:rsidRDefault="000C6177" w:rsidP="000C6177">
            <w:pPr>
              <w:spacing w:after="0" w:line="240" w:lineRule="auto"/>
              <w:rPr>
                <w:rFonts w:ascii="Calibri" w:eastAsia="Times New Roman" w:hAnsi="Calibri" w:cs="Calibri"/>
                <w:sz w:val="24"/>
                <w:szCs w:val="24"/>
                <w:lang w:eastAsia="sl-SI"/>
              </w:rPr>
            </w:pPr>
          </w:p>
          <w:p w:rsidR="000C6177" w:rsidRPr="006B39FD" w:rsidRDefault="000C6177" w:rsidP="000C6177">
            <w:pPr>
              <w:spacing w:after="0" w:line="240" w:lineRule="auto"/>
              <w:rPr>
                <w:rFonts w:ascii="Calibri" w:eastAsia="Times New Roman" w:hAnsi="Calibri" w:cs="Calibri"/>
                <w:b/>
                <w:color w:val="333333"/>
                <w:sz w:val="20"/>
                <w:szCs w:val="20"/>
                <w:lang w:eastAsia="sl-SI"/>
              </w:rPr>
            </w:pPr>
            <w:r w:rsidRPr="006B39FD">
              <w:rPr>
                <w:rFonts w:ascii="Calibri" w:eastAsia="Times New Roman" w:hAnsi="Calibri" w:cs="Calibri"/>
                <w:b/>
                <w:color w:val="333333"/>
                <w:sz w:val="20"/>
                <w:szCs w:val="20"/>
                <w:lang w:eastAsia="sl-SI"/>
              </w:rPr>
              <w:t>OBČINA NAKLO</w:t>
            </w:r>
          </w:p>
          <w:p w:rsidR="000C6177" w:rsidRPr="006B39FD" w:rsidRDefault="006D1D09" w:rsidP="000C6177">
            <w:pPr>
              <w:spacing w:after="0" w:line="240" w:lineRule="auto"/>
              <w:rPr>
                <w:rFonts w:ascii="Calibri" w:eastAsia="Times New Roman" w:hAnsi="Calibri" w:cs="Calibri"/>
                <w:color w:val="333333"/>
                <w:sz w:val="20"/>
                <w:szCs w:val="20"/>
                <w:lang w:eastAsia="sl-SI"/>
              </w:rPr>
            </w:pPr>
            <w:r w:rsidRPr="006B39FD">
              <w:rPr>
                <w:rFonts w:ascii="Calibri" w:eastAsia="Times New Roman" w:hAnsi="Calibri" w:cs="Calibri"/>
                <w:color w:val="333333"/>
                <w:sz w:val="20"/>
                <w:szCs w:val="20"/>
                <w:lang w:eastAsia="sl-SI"/>
              </w:rPr>
              <w:t>Stara cesta 61</w:t>
            </w:r>
            <w:r w:rsidR="000C6177" w:rsidRPr="006B39FD">
              <w:rPr>
                <w:rFonts w:ascii="Calibri" w:eastAsia="Times New Roman" w:hAnsi="Calibri" w:cs="Calibri"/>
                <w:color w:val="333333"/>
                <w:sz w:val="20"/>
                <w:szCs w:val="20"/>
                <w:lang w:eastAsia="sl-SI"/>
              </w:rPr>
              <w:t>, 4202 Naklo</w:t>
            </w:r>
          </w:p>
          <w:p w:rsidR="000C6177" w:rsidRPr="006B39FD" w:rsidRDefault="000C6177" w:rsidP="000C6177">
            <w:pPr>
              <w:spacing w:after="0" w:line="240" w:lineRule="auto"/>
              <w:rPr>
                <w:rFonts w:ascii="Calibri" w:eastAsia="Times New Roman" w:hAnsi="Calibri" w:cs="Calibri"/>
                <w:color w:val="333333"/>
                <w:sz w:val="20"/>
                <w:szCs w:val="20"/>
                <w:lang w:eastAsia="sl-SI"/>
              </w:rPr>
            </w:pPr>
          </w:p>
          <w:p w:rsidR="000C6177" w:rsidRPr="006B39FD" w:rsidRDefault="000C6177" w:rsidP="006B39FD">
            <w:pPr>
              <w:spacing w:after="0" w:line="240" w:lineRule="auto"/>
              <w:rPr>
                <w:rFonts w:ascii="Calibri" w:eastAsia="Times New Roman" w:hAnsi="Calibri" w:cs="Calibri"/>
                <w:color w:val="333333"/>
                <w:sz w:val="20"/>
                <w:szCs w:val="20"/>
                <w:lang w:eastAsia="sl-SI"/>
              </w:rPr>
            </w:pPr>
            <w:r w:rsidRPr="006B39FD">
              <w:rPr>
                <w:rFonts w:ascii="Calibri" w:eastAsia="Times New Roman" w:hAnsi="Calibri" w:cs="Calibri"/>
                <w:color w:val="333333"/>
                <w:sz w:val="20"/>
                <w:szCs w:val="20"/>
                <w:lang w:eastAsia="sl-SI"/>
              </w:rPr>
              <w:t>Tel.št. 04/277-11-00</w:t>
            </w:r>
          </w:p>
          <w:p w:rsidR="000C6177" w:rsidRPr="006D1D09" w:rsidRDefault="000C6177" w:rsidP="000C6177">
            <w:pPr>
              <w:tabs>
                <w:tab w:val="left" w:pos="708"/>
                <w:tab w:val="left" w:pos="1416"/>
                <w:tab w:val="center" w:pos="2195"/>
              </w:tabs>
              <w:spacing w:after="0" w:line="240" w:lineRule="auto"/>
              <w:rPr>
                <w:rFonts w:ascii="Calibri" w:eastAsia="Times New Roman" w:hAnsi="Calibri" w:cs="Calibri"/>
                <w:color w:val="333333"/>
                <w:sz w:val="24"/>
                <w:szCs w:val="24"/>
                <w:lang w:eastAsia="sl-SI"/>
              </w:rPr>
            </w:pPr>
            <w:r w:rsidRPr="006B39FD">
              <w:rPr>
                <w:rFonts w:ascii="Calibri" w:eastAsia="Times New Roman" w:hAnsi="Calibri" w:cs="Calibri"/>
                <w:color w:val="333333"/>
                <w:sz w:val="20"/>
                <w:szCs w:val="20"/>
                <w:lang w:eastAsia="sl-SI"/>
              </w:rPr>
              <w:t>e-pošta: glavna.pisarna@obcina-naklo.si</w:t>
            </w:r>
          </w:p>
        </w:tc>
        <w:tc>
          <w:tcPr>
            <w:tcW w:w="4297" w:type="dxa"/>
          </w:tcPr>
          <w:p w:rsidR="000C6177" w:rsidRPr="006D1D09" w:rsidRDefault="000C6177" w:rsidP="000C6177">
            <w:pPr>
              <w:tabs>
                <w:tab w:val="center" w:pos="4536"/>
                <w:tab w:val="right" w:pos="9072"/>
              </w:tabs>
              <w:spacing w:after="0" w:line="240" w:lineRule="auto"/>
              <w:ind w:left="708" w:right="-648"/>
              <w:rPr>
                <w:rFonts w:ascii="Calibri" w:eastAsia="Times New Roman" w:hAnsi="Calibri" w:cs="Calibri"/>
                <w:sz w:val="24"/>
                <w:szCs w:val="24"/>
                <w:lang w:eastAsia="sl-SI"/>
              </w:rPr>
            </w:pPr>
          </w:p>
        </w:tc>
      </w:tr>
    </w:tbl>
    <w:tbl>
      <w:tblPr>
        <w:tblpPr w:leftFromText="141" w:rightFromText="141" w:vertAnchor="page" w:horzAnchor="margin" w:tblpY="2438"/>
        <w:tblW w:w="0" w:type="auto"/>
        <w:tblLook w:val="01E0" w:firstRow="1" w:lastRow="1" w:firstColumn="1" w:lastColumn="1" w:noHBand="0" w:noVBand="0"/>
      </w:tblPr>
      <w:tblGrid>
        <w:gridCol w:w="2808"/>
        <w:gridCol w:w="3202"/>
        <w:gridCol w:w="3202"/>
      </w:tblGrid>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c>
          <w:tcPr>
            <w:tcW w:w="6404" w:type="dxa"/>
            <w:gridSpan w:val="2"/>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r w:rsidRPr="006D1D09">
              <w:rPr>
                <w:rFonts w:ascii="Calibri" w:eastAsia="Times New Roman" w:hAnsi="Calibri" w:cs="Calibri"/>
                <w:sz w:val="24"/>
                <w:szCs w:val="24"/>
                <w:lang w:eastAsia="sl-SI"/>
              </w:rPr>
              <w:t>VLAGATELJ</w:t>
            </w:r>
          </w:p>
        </w:tc>
        <w:tc>
          <w:tcPr>
            <w:tcW w:w="6404" w:type="dxa"/>
            <w:gridSpan w:val="2"/>
            <w:tcBorders>
              <w:bottom w:val="single" w:sz="4" w:space="0" w:color="auto"/>
            </w:tcBorders>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r w:rsidRPr="006D1D09">
              <w:rPr>
                <w:rFonts w:ascii="Calibri" w:eastAsia="Times New Roman" w:hAnsi="Calibri" w:cs="Calibri"/>
                <w:sz w:val="24"/>
                <w:szCs w:val="24"/>
                <w:lang w:eastAsia="sl-SI"/>
              </w:rPr>
              <w:t>NASLOV</w:t>
            </w:r>
          </w:p>
        </w:tc>
        <w:tc>
          <w:tcPr>
            <w:tcW w:w="6404" w:type="dxa"/>
            <w:gridSpan w:val="2"/>
            <w:tcBorders>
              <w:top w:val="single" w:sz="4" w:space="0" w:color="auto"/>
              <w:bottom w:val="single" w:sz="4" w:space="0" w:color="auto"/>
            </w:tcBorders>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r w:rsidRPr="006D1D09">
              <w:rPr>
                <w:rFonts w:ascii="Calibri" w:eastAsia="Times New Roman" w:hAnsi="Calibri" w:cs="Calibri"/>
                <w:sz w:val="24"/>
                <w:szCs w:val="24"/>
                <w:lang w:eastAsia="sl-SI"/>
              </w:rPr>
              <w:t>TELEFON doma/služba</w:t>
            </w:r>
          </w:p>
        </w:tc>
        <w:tc>
          <w:tcPr>
            <w:tcW w:w="6404" w:type="dxa"/>
            <w:gridSpan w:val="2"/>
            <w:tcBorders>
              <w:top w:val="single" w:sz="4" w:space="0" w:color="auto"/>
              <w:bottom w:val="single" w:sz="4" w:space="0" w:color="auto"/>
            </w:tcBorders>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r w:rsidR="000C6177" w:rsidRPr="006D1D09" w:rsidTr="000C6177">
        <w:tc>
          <w:tcPr>
            <w:tcW w:w="2808"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r w:rsidRPr="006D1D09">
              <w:rPr>
                <w:rFonts w:ascii="Calibri" w:eastAsia="Times New Roman" w:hAnsi="Calibri" w:cs="Calibri"/>
                <w:sz w:val="24"/>
                <w:szCs w:val="24"/>
                <w:lang w:eastAsia="sl-SI"/>
              </w:rPr>
              <w:t>DATUM:</w:t>
            </w:r>
          </w:p>
        </w:tc>
        <w:tc>
          <w:tcPr>
            <w:tcW w:w="3202" w:type="dxa"/>
            <w:tcBorders>
              <w:top w:val="single" w:sz="4" w:space="0" w:color="auto"/>
              <w:bottom w:val="single" w:sz="4" w:space="0" w:color="auto"/>
            </w:tcBorders>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c>
          <w:tcPr>
            <w:tcW w:w="3202" w:type="dxa"/>
            <w:shd w:val="clear" w:color="auto" w:fill="auto"/>
          </w:tcPr>
          <w:p w:rsidR="000C6177" w:rsidRPr="006D1D09" w:rsidRDefault="000C6177" w:rsidP="000C6177">
            <w:pPr>
              <w:spacing w:after="0" w:line="240" w:lineRule="auto"/>
              <w:rPr>
                <w:rFonts w:ascii="Calibri" w:eastAsia="Times New Roman" w:hAnsi="Calibri" w:cs="Calibri"/>
                <w:sz w:val="24"/>
                <w:szCs w:val="24"/>
                <w:lang w:eastAsia="sl-SI"/>
              </w:rPr>
            </w:pPr>
          </w:p>
        </w:tc>
      </w:tr>
    </w:tbl>
    <w:p w:rsidR="000C6177" w:rsidRPr="006D1D09" w:rsidRDefault="000C6177">
      <w:pPr>
        <w:rPr>
          <w:rFonts w:ascii="Calibri" w:hAnsi="Calibri" w:cs="Calibri"/>
        </w:rPr>
      </w:pPr>
    </w:p>
    <w:p w:rsidR="000C6177" w:rsidRPr="00EC78AE" w:rsidRDefault="00EC78AE" w:rsidP="00EC78AE">
      <w:pPr>
        <w:spacing w:after="0"/>
        <w:jc w:val="center"/>
        <w:rPr>
          <w:rFonts w:ascii="Calibri" w:hAnsi="Calibri" w:cs="Calibri"/>
          <w:b/>
        </w:rPr>
      </w:pPr>
      <w:r>
        <w:rPr>
          <w:rFonts w:ascii="Calibri" w:hAnsi="Calibri" w:cs="Calibri"/>
          <w:b/>
        </w:rPr>
        <w:t>VLOGA ZA IZDAJO DOVOLJENJA ZA ČEZMERNO OBREMENITEV OKOLJA S HRUPOM</w:t>
      </w:r>
    </w:p>
    <w:p w:rsidR="00EC78AE" w:rsidRDefault="00EC78AE" w:rsidP="00EC78AE">
      <w:pPr>
        <w:spacing w:after="0"/>
        <w:jc w:val="center"/>
        <w:rPr>
          <w:rFonts w:ascii="Calibri" w:hAnsi="Calibri" w:cs="Calibri"/>
        </w:rPr>
      </w:pPr>
      <w:r>
        <w:rPr>
          <w:rFonts w:ascii="Calibri" w:hAnsi="Calibri" w:cs="Calibri"/>
        </w:rPr>
        <w:t xml:space="preserve">(6. člen  Uredbe o načinu uporabe zvočnih naprav, ki na shodih </w:t>
      </w:r>
    </w:p>
    <w:p w:rsidR="009307B4" w:rsidRDefault="00EC78AE" w:rsidP="00EC78AE">
      <w:pPr>
        <w:spacing w:after="0"/>
        <w:jc w:val="center"/>
        <w:rPr>
          <w:rFonts w:ascii="Calibri" w:hAnsi="Calibri" w:cs="Calibri"/>
        </w:rPr>
      </w:pPr>
      <w:r>
        <w:rPr>
          <w:rFonts w:ascii="Calibri" w:hAnsi="Calibri" w:cs="Calibri"/>
        </w:rPr>
        <w:t>in prireditvah povzročajo hrup (Ur.l.RS, št. 118/2005))</w:t>
      </w:r>
    </w:p>
    <w:p w:rsidR="009307B4" w:rsidRPr="006D1D09" w:rsidRDefault="009307B4" w:rsidP="009307B4">
      <w:pPr>
        <w:jc w:val="both"/>
        <w:rPr>
          <w:rFonts w:ascii="Calibri" w:hAnsi="Calibri" w:cs="Calibri"/>
        </w:rPr>
      </w:pPr>
    </w:p>
    <w:tbl>
      <w:tblPr>
        <w:tblStyle w:val="Tabelamrea"/>
        <w:tblW w:w="0" w:type="auto"/>
        <w:tblLook w:val="04A0" w:firstRow="1" w:lastRow="0" w:firstColumn="1" w:lastColumn="0" w:noHBand="0" w:noVBand="1"/>
      </w:tblPr>
      <w:tblGrid>
        <w:gridCol w:w="3085"/>
        <w:gridCol w:w="6127"/>
      </w:tblGrid>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Odgovorna oseba organizatorja prireditve:</w:t>
            </w:r>
          </w:p>
        </w:tc>
        <w:tc>
          <w:tcPr>
            <w:tcW w:w="6127" w:type="dxa"/>
          </w:tcPr>
          <w:p w:rsidR="009307B4" w:rsidRPr="006D1D09" w:rsidRDefault="009307B4" w:rsidP="009307B4">
            <w:pPr>
              <w:jc w:val="both"/>
              <w:rPr>
                <w:rFonts w:ascii="Calibri" w:hAnsi="Calibri" w:cs="Calibri"/>
              </w:rPr>
            </w:pPr>
          </w:p>
        </w:tc>
      </w:tr>
      <w:tr w:rsidR="006D1D09" w:rsidRPr="006D1D09" w:rsidTr="009307B4">
        <w:tc>
          <w:tcPr>
            <w:tcW w:w="3085" w:type="dxa"/>
          </w:tcPr>
          <w:p w:rsidR="006D1D09" w:rsidRPr="006D1D09" w:rsidRDefault="006D1D09" w:rsidP="009307B4">
            <w:pPr>
              <w:jc w:val="both"/>
              <w:rPr>
                <w:rFonts w:ascii="Calibri" w:hAnsi="Calibri" w:cs="Calibri"/>
              </w:rPr>
            </w:pPr>
            <w:r w:rsidRPr="006D1D09">
              <w:rPr>
                <w:rFonts w:ascii="Calibri" w:hAnsi="Calibri" w:cs="Calibri"/>
              </w:rPr>
              <w:t>Naziv prireditve:</w:t>
            </w:r>
          </w:p>
        </w:tc>
        <w:tc>
          <w:tcPr>
            <w:tcW w:w="6127" w:type="dxa"/>
          </w:tcPr>
          <w:p w:rsidR="006D1D09" w:rsidRPr="006D1D09" w:rsidRDefault="006D1D09" w:rsidP="009307B4">
            <w:pPr>
              <w:jc w:val="both"/>
              <w:rPr>
                <w:rFonts w:ascii="Calibri" w:hAnsi="Calibri" w:cs="Calibri"/>
              </w:rPr>
            </w:pPr>
          </w:p>
        </w:tc>
      </w:tr>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Kraj prireditve:</w:t>
            </w:r>
          </w:p>
        </w:tc>
        <w:tc>
          <w:tcPr>
            <w:tcW w:w="6127" w:type="dxa"/>
          </w:tcPr>
          <w:p w:rsidR="009307B4" w:rsidRPr="006D1D09" w:rsidRDefault="009307B4" w:rsidP="009307B4">
            <w:pPr>
              <w:jc w:val="both"/>
              <w:rPr>
                <w:rFonts w:ascii="Calibri" w:hAnsi="Calibri" w:cs="Calibri"/>
              </w:rPr>
            </w:pPr>
          </w:p>
        </w:tc>
      </w:tr>
      <w:tr w:rsidR="009307B4" w:rsidRPr="006D1D09" w:rsidTr="009307B4">
        <w:tc>
          <w:tcPr>
            <w:tcW w:w="3085" w:type="dxa"/>
          </w:tcPr>
          <w:p w:rsidR="009307B4" w:rsidRPr="006D1D09" w:rsidRDefault="006D1D09" w:rsidP="009307B4">
            <w:pPr>
              <w:jc w:val="both"/>
              <w:rPr>
                <w:rFonts w:ascii="Calibri" w:hAnsi="Calibri" w:cs="Calibri"/>
              </w:rPr>
            </w:pPr>
            <w:r w:rsidRPr="006D1D09">
              <w:rPr>
                <w:rFonts w:ascii="Calibri" w:hAnsi="Calibri" w:cs="Calibri"/>
              </w:rPr>
              <w:t>Datum</w:t>
            </w:r>
            <w:r w:rsidR="009307B4" w:rsidRPr="006D1D09">
              <w:rPr>
                <w:rFonts w:ascii="Calibri" w:hAnsi="Calibri" w:cs="Calibri"/>
              </w:rPr>
              <w:t xml:space="preserve"> poteka prireditve:</w:t>
            </w:r>
          </w:p>
        </w:tc>
        <w:tc>
          <w:tcPr>
            <w:tcW w:w="6127" w:type="dxa"/>
          </w:tcPr>
          <w:p w:rsidR="009307B4" w:rsidRPr="006D1D09" w:rsidRDefault="009307B4" w:rsidP="009307B4">
            <w:pPr>
              <w:jc w:val="both"/>
              <w:rPr>
                <w:rFonts w:ascii="Calibri" w:hAnsi="Calibri" w:cs="Calibri"/>
              </w:rPr>
            </w:pPr>
          </w:p>
        </w:tc>
      </w:tr>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Čas začetka in konca uporabe zvočnih naprav:</w:t>
            </w:r>
          </w:p>
        </w:tc>
        <w:tc>
          <w:tcPr>
            <w:tcW w:w="6127" w:type="dxa"/>
          </w:tcPr>
          <w:p w:rsidR="009307B4" w:rsidRPr="006D1D09" w:rsidRDefault="009307B4" w:rsidP="009307B4">
            <w:pPr>
              <w:jc w:val="both"/>
              <w:rPr>
                <w:rFonts w:ascii="Calibri" w:hAnsi="Calibri" w:cs="Calibri"/>
              </w:rPr>
            </w:pPr>
          </w:p>
        </w:tc>
      </w:tr>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 xml:space="preserve">Vrsta in število zvočnih naprav, </w:t>
            </w:r>
            <w:r w:rsidR="006D1D09" w:rsidRPr="006D1D09">
              <w:rPr>
                <w:rFonts w:ascii="Calibri" w:hAnsi="Calibri" w:cs="Calibri"/>
              </w:rPr>
              <w:t xml:space="preserve">nazivna moč zvočnikov, </w:t>
            </w:r>
            <w:r w:rsidRPr="006D1D09">
              <w:rPr>
                <w:rFonts w:ascii="Calibri" w:hAnsi="Calibri" w:cs="Calibri"/>
              </w:rPr>
              <w:t>število zvočnikov posamezne zvočne naprave:</w:t>
            </w:r>
          </w:p>
        </w:tc>
        <w:tc>
          <w:tcPr>
            <w:tcW w:w="6127" w:type="dxa"/>
          </w:tcPr>
          <w:p w:rsidR="009307B4" w:rsidRPr="006D1D09" w:rsidRDefault="009307B4" w:rsidP="009307B4">
            <w:pPr>
              <w:jc w:val="both"/>
              <w:rPr>
                <w:rFonts w:ascii="Calibri" w:hAnsi="Calibri" w:cs="Calibri"/>
              </w:rPr>
            </w:pPr>
          </w:p>
        </w:tc>
      </w:tr>
      <w:tr w:rsidR="009307B4" w:rsidRPr="006D1D09" w:rsidTr="009307B4">
        <w:tc>
          <w:tcPr>
            <w:tcW w:w="3085" w:type="dxa"/>
          </w:tcPr>
          <w:p w:rsidR="009307B4" w:rsidRPr="006D1D09" w:rsidRDefault="009307B4" w:rsidP="009307B4">
            <w:pPr>
              <w:jc w:val="both"/>
              <w:rPr>
                <w:rFonts w:ascii="Calibri" w:hAnsi="Calibri" w:cs="Calibri"/>
              </w:rPr>
            </w:pPr>
            <w:r w:rsidRPr="006D1D09">
              <w:rPr>
                <w:rFonts w:ascii="Calibri" w:hAnsi="Calibri" w:cs="Calibri"/>
              </w:rPr>
              <w:t>Mesto namestitve zvočnih naprav:</w:t>
            </w:r>
          </w:p>
        </w:tc>
        <w:tc>
          <w:tcPr>
            <w:tcW w:w="6127" w:type="dxa"/>
          </w:tcPr>
          <w:p w:rsidR="009307B4" w:rsidRPr="006D1D09" w:rsidRDefault="009307B4" w:rsidP="009307B4">
            <w:pPr>
              <w:jc w:val="both"/>
              <w:rPr>
                <w:rFonts w:ascii="Calibri" w:hAnsi="Calibri" w:cs="Calibri"/>
              </w:rPr>
            </w:pPr>
          </w:p>
        </w:tc>
      </w:tr>
    </w:tbl>
    <w:p w:rsidR="00FA7CB2" w:rsidRDefault="00FA7CB2" w:rsidP="009307B4">
      <w:pPr>
        <w:rPr>
          <w:rFonts w:ascii="Calibri" w:hAnsi="Calibri" w:cs="Calibri"/>
        </w:rPr>
      </w:pPr>
    </w:p>
    <w:p w:rsidR="00A27F26" w:rsidRPr="006D1D09" w:rsidRDefault="009307B4" w:rsidP="009307B4">
      <w:pPr>
        <w:rPr>
          <w:rFonts w:ascii="Calibri" w:hAnsi="Calibri" w:cs="Calibri"/>
        </w:rPr>
      </w:pPr>
      <w:r w:rsidRPr="006D1D09">
        <w:rPr>
          <w:rFonts w:ascii="Calibri" w:hAnsi="Calibri" w:cs="Calibri"/>
        </w:rPr>
        <w:t>Ostalo:</w:t>
      </w:r>
    </w:p>
    <w:tbl>
      <w:tblPr>
        <w:tblStyle w:val="Tabelamrea"/>
        <w:tblW w:w="0" w:type="auto"/>
        <w:tblBorders>
          <w:left w:val="none" w:sz="0" w:space="0" w:color="auto"/>
          <w:right w:val="none" w:sz="0" w:space="0" w:color="auto"/>
        </w:tblBorders>
        <w:tblLook w:val="04A0" w:firstRow="1" w:lastRow="0" w:firstColumn="1" w:lastColumn="0" w:noHBand="0" w:noVBand="1"/>
      </w:tblPr>
      <w:tblGrid>
        <w:gridCol w:w="9212"/>
      </w:tblGrid>
      <w:tr w:rsidR="009307B4" w:rsidRPr="006D1D09" w:rsidTr="009307B4">
        <w:tc>
          <w:tcPr>
            <w:tcW w:w="9212" w:type="dxa"/>
          </w:tcPr>
          <w:p w:rsidR="009307B4" w:rsidRPr="006D1D09" w:rsidRDefault="009307B4" w:rsidP="009307B4">
            <w:pPr>
              <w:rPr>
                <w:rFonts w:ascii="Calibri" w:hAnsi="Calibri" w:cs="Calibri"/>
              </w:rPr>
            </w:pPr>
          </w:p>
        </w:tc>
      </w:tr>
      <w:tr w:rsidR="009307B4" w:rsidRPr="006D1D09" w:rsidTr="009307B4">
        <w:tc>
          <w:tcPr>
            <w:tcW w:w="9212" w:type="dxa"/>
          </w:tcPr>
          <w:p w:rsidR="009307B4" w:rsidRPr="006D1D09" w:rsidRDefault="009307B4" w:rsidP="009307B4">
            <w:pPr>
              <w:rPr>
                <w:rFonts w:ascii="Calibri" w:hAnsi="Calibri" w:cs="Calibri"/>
              </w:rPr>
            </w:pPr>
          </w:p>
        </w:tc>
      </w:tr>
      <w:tr w:rsidR="009307B4" w:rsidRPr="006D1D09" w:rsidTr="009307B4">
        <w:tc>
          <w:tcPr>
            <w:tcW w:w="9212" w:type="dxa"/>
          </w:tcPr>
          <w:p w:rsidR="009307B4" w:rsidRPr="006D1D09" w:rsidRDefault="009307B4" w:rsidP="009307B4">
            <w:pPr>
              <w:rPr>
                <w:rFonts w:ascii="Calibri" w:hAnsi="Calibri" w:cs="Calibri"/>
              </w:rPr>
            </w:pPr>
          </w:p>
        </w:tc>
      </w:tr>
    </w:tbl>
    <w:p w:rsidR="009307B4" w:rsidRPr="006D1D09" w:rsidRDefault="009307B4" w:rsidP="009307B4">
      <w:pPr>
        <w:spacing w:after="0"/>
        <w:rPr>
          <w:rFonts w:ascii="Calibri" w:hAnsi="Calibri" w:cs="Calibri"/>
          <w:i/>
        </w:rPr>
      </w:pPr>
    </w:p>
    <w:p w:rsidR="009307B4" w:rsidRPr="006D1D09" w:rsidRDefault="009307B4" w:rsidP="009307B4">
      <w:pPr>
        <w:spacing w:after="0"/>
        <w:ind w:left="5664"/>
        <w:rPr>
          <w:rFonts w:ascii="Calibri" w:hAnsi="Calibri" w:cs="Calibri"/>
          <w:i/>
        </w:rPr>
      </w:pPr>
      <w:r w:rsidRPr="006D1D09">
        <w:rPr>
          <w:rFonts w:ascii="Calibri" w:hAnsi="Calibri" w:cs="Calibri"/>
          <w:i/>
        </w:rPr>
        <w:t>__________________________</w:t>
      </w:r>
    </w:p>
    <w:p w:rsidR="009307B4" w:rsidRPr="006D1D09" w:rsidRDefault="009307B4" w:rsidP="009307B4">
      <w:pPr>
        <w:tabs>
          <w:tab w:val="left" w:pos="5760"/>
        </w:tabs>
        <w:spacing w:after="0"/>
        <w:rPr>
          <w:rFonts w:ascii="Calibri" w:hAnsi="Calibri" w:cs="Calibri"/>
          <w:i/>
        </w:rPr>
      </w:pPr>
      <w:r w:rsidRPr="006D1D09">
        <w:rPr>
          <w:rFonts w:ascii="Calibri" w:hAnsi="Calibri" w:cs="Calibri"/>
          <w:i/>
        </w:rPr>
        <w:tab/>
        <w:t xml:space="preserve">        (podpis vlagatelja)</w:t>
      </w:r>
    </w:p>
    <w:p w:rsidR="009307B4" w:rsidRPr="006D1D09" w:rsidRDefault="009307B4" w:rsidP="009307B4">
      <w:pPr>
        <w:spacing w:after="0"/>
        <w:rPr>
          <w:rFonts w:ascii="Calibri" w:hAnsi="Calibri" w:cs="Calibri"/>
          <w:i/>
        </w:rPr>
      </w:pPr>
    </w:p>
    <w:p w:rsidR="00FA7CB2" w:rsidRDefault="00FA7CB2" w:rsidP="009307B4">
      <w:pPr>
        <w:spacing w:after="0"/>
        <w:rPr>
          <w:rFonts w:ascii="Calibri" w:hAnsi="Calibri" w:cs="Calibri"/>
          <w:i/>
        </w:rPr>
      </w:pPr>
    </w:p>
    <w:p w:rsidR="00FA7CB2" w:rsidRDefault="00FA7CB2" w:rsidP="009307B4">
      <w:pPr>
        <w:spacing w:after="0"/>
        <w:rPr>
          <w:rFonts w:ascii="Calibri" w:hAnsi="Calibri" w:cs="Calibri"/>
          <w:i/>
        </w:rPr>
      </w:pPr>
    </w:p>
    <w:p w:rsidR="00FA7CB2" w:rsidRDefault="00FA7CB2" w:rsidP="009307B4">
      <w:pPr>
        <w:spacing w:after="0"/>
        <w:rPr>
          <w:rFonts w:ascii="Calibri" w:hAnsi="Calibri" w:cs="Calibri"/>
          <w:i/>
        </w:rPr>
      </w:pPr>
    </w:p>
    <w:p w:rsidR="00AB4F0A" w:rsidRPr="00E02908" w:rsidRDefault="009307B4" w:rsidP="009307B4">
      <w:pPr>
        <w:spacing w:after="0"/>
        <w:rPr>
          <w:rFonts w:ascii="Calibri" w:hAnsi="Calibri" w:cs="Calibri"/>
          <w:b/>
          <w:i/>
          <w:sz w:val="20"/>
          <w:szCs w:val="20"/>
        </w:rPr>
      </w:pPr>
      <w:r w:rsidRPr="00E02908">
        <w:rPr>
          <w:rFonts w:ascii="Calibri" w:hAnsi="Calibri" w:cs="Calibri"/>
          <w:b/>
          <w:i/>
          <w:sz w:val="20"/>
          <w:szCs w:val="20"/>
        </w:rPr>
        <w:t xml:space="preserve">UPRAVNA TAKSA – Zakon o upravnih </w:t>
      </w:r>
      <w:r w:rsidR="00BA7CFE" w:rsidRPr="00E02908">
        <w:rPr>
          <w:rFonts w:ascii="Calibri" w:hAnsi="Calibri" w:cs="Calibri"/>
          <w:b/>
          <w:i/>
          <w:sz w:val="20"/>
          <w:szCs w:val="20"/>
        </w:rPr>
        <w:t>taksah (Ur.l.RS, št. 106/10-UPB5, 32/2016</w:t>
      </w:r>
      <w:r w:rsidRPr="00E02908">
        <w:rPr>
          <w:rFonts w:ascii="Calibri" w:hAnsi="Calibri" w:cs="Calibri"/>
          <w:b/>
          <w:i/>
          <w:sz w:val="20"/>
          <w:szCs w:val="20"/>
        </w:rPr>
        <w:t>)</w:t>
      </w:r>
      <w:r w:rsidR="005B2E4F" w:rsidRPr="00E02908">
        <w:rPr>
          <w:rFonts w:ascii="Calibri" w:hAnsi="Calibri" w:cs="Calibri"/>
          <w:b/>
          <w:i/>
          <w:sz w:val="20"/>
          <w:szCs w:val="20"/>
        </w:rPr>
        <w:t xml:space="preserve">, tar.št. 1 in </w:t>
      </w:r>
      <w:r w:rsidR="00BA7CFE" w:rsidRPr="00E02908">
        <w:rPr>
          <w:rFonts w:ascii="Calibri" w:hAnsi="Calibri" w:cs="Calibri"/>
          <w:b/>
          <w:i/>
          <w:sz w:val="20"/>
          <w:szCs w:val="20"/>
        </w:rPr>
        <w:t xml:space="preserve">3 točka 1 </w:t>
      </w:r>
      <w:r w:rsidR="005B2E4F" w:rsidRPr="00E02908">
        <w:rPr>
          <w:rFonts w:ascii="Calibri" w:hAnsi="Calibri" w:cs="Calibri"/>
          <w:b/>
          <w:i/>
          <w:sz w:val="20"/>
          <w:szCs w:val="20"/>
        </w:rPr>
        <w:t xml:space="preserve"> – 22,</w:t>
      </w:r>
      <w:r w:rsidR="00BA7CFE" w:rsidRPr="00E02908">
        <w:rPr>
          <w:rFonts w:ascii="Calibri" w:hAnsi="Calibri" w:cs="Calibri"/>
          <w:b/>
          <w:i/>
          <w:sz w:val="20"/>
          <w:szCs w:val="20"/>
        </w:rPr>
        <w:t>60</w:t>
      </w:r>
      <w:r w:rsidR="005B2E4F" w:rsidRPr="00E02908">
        <w:rPr>
          <w:rFonts w:ascii="Calibri" w:hAnsi="Calibri" w:cs="Calibri"/>
          <w:b/>
          <w:i/>
          <w:sz w:val="20"/>
          <w:szCs w:val="20"/>
        </w:rPr>
        <w:t xml:space="preserve"> EUR</w:t>
      </w:r>
    </w:p>
    <w:p w:rsidR="00AB4F0A" w:rsidRPr="00E02908" w:rsidRDefault="00AB4F0A" w:rsidP="00AB4F0A">
      <w:pPr>
        <w:spacing w:after="0" w:line="240" w:lineRule="auto"/>
        <w:rPr>
          <w:rFonts w:ascii="Calibri" w:eastAsia="Times New Roman" w:hAnsi="Calibri" w:cs="Calibri"/>
          <w:b/>
          <w:i/>
          <w:sz w:val="20"/>
          <w:szCs w:val="20"/>
          <w:lang w:eastAsia="sl-SI"/>
        </w:rPr>
      </w:pPr>
      <w:r w:rsidRPr="00E02908">
        <w:rPr>
          <w:rFonts w:ascii="Calibri" w:eastAsia="Times New Roman" w:hAnsi="Calibri" w:cs="Calibri"/>
          <w:b/>
          <w:i/>
          <w:sz w:val="20"/>
          <w:szCs w:val="20"/>
          <w:lang w:eastAsia="sl-SI"/>
        </w:rPr>
        <w:t xml:space="preserve">Upravna taksa se plača ob oddaji vloge v blagajni Občine Naklo oziroma se nakaže na račun Upravne takse-Občina Naklo, Stara cesta 61, 4202 Naklo, št SI56 </w:t>
      </w:r>
      <w:r w:rsidR="00103FF1" w:rsidRPr="00103FF1">
        <w:rPr>
          <w:rFonts w:ascii="Calibri" w:eastAsia="Times New Roman" w:hAnsi="Calibri" w:cs="Calibri"/>
          <w:b/>
          <w:i/>
          <w:sz w:val="20"/>
          <w:szCs w:val="20"/>
          <w:lang w:eastAsia="sl-SI"/>
        </w:rPr>
        <w:t>0110</w:t>
      </w:r>
      <w:r w:rsidR="00103FF1">
        <w:rPr>
          <w:rFonts w:ascii="Calibri" w:eastAsia="Times New Roman" w:hAnsi="Calibri" w:cs="Calibri"/>
          <w:b/>
          <w:i/>
          <w:sz w:val="20"/>
          <w:szCs w:val="20"/>
          <w:lang w:eastAsia="sl-SI"/>
        </w:rPr>
        <w:t xml:space="preserve"> </w:t>
      </w:r>
      <w:r w:rsidR="00103FF1" w:rsidRPr="00103FF1">
        <w:rPr>
          <w:rFonts w:ascii="Calibri" w:eastAsia="Times New Roman" w:hAnsi="Calibri" w:cs="Calibri"/>
          <w:b/>
          <w:i/>
          <w:sz w:val="20"/>
          <w:szCs w:val="20"/>
          <w:lang w:eastAsia="sl-SI"/>
        </w:rPr>
        <w:t>0482</w:t>
      </w:r>
      <w:r w:rsidR="00103FF1">
        <w:rPr>
          <w:rFonts w:ascii="Calibri" w:eastAsia="Times New Roman" w:hAnsi="Calibri" w:cs="Calibri"/>
          <w:b/>
          <w:i/>
          <w:sz w:val="20"/>
          <w:szCs w:val="20"/>
          <w:lang w:eastAsia="sl-SI"/>
        </w:rPr>
        <w:t xml:space="preserve"> </w:t>
      </w:r>
      <w:r w:rsidR="00103FF1" w:rsidRPr="00103FF1">
        <w:rPr>
          <w:rFonts w:ascii="Calibri" w:eastAsia="Times New Roman" w:hAnsi="Calibri" w:cs="Calibri"/>
          <w:b/>
          <w:i/>
          <w:sz w:val="20"/>
          <w:szCs w:val="20"/>
          <w:lang w:eastAsia="sl-SI"/>
        </w:rPr>
        <w:t>0309</w:t>
      </w:r>
      <w:r w:rsidR="00103FF1">
        <w:rPr>
          <w:rFonts w:ascii="Calibri" w:eastAsia="Times New Roman" w:hAnsi="Calibri" w:cs="Calibri"/>
          <w:b/>
          <w:i/>
          <w:sz w:val="20"/>
          <w:szCs w:val="20"/>
          <w:lang w:eastAsia="sl-SI"/>
        </w:rPr>
        <w:t xml:space="preserve"> </w:t>
      </w:r>
      <w:bookmarkStart w:id="1" w:name="_GoBack"/>
      <w:bookmarkEnd w:id="1"/>
      <w:r w:rsidR="00103FF1" w:rsidRPr="00103FF1">
        <w:rPr>
          <w:rFonts w:ascii="Calibri" w:eastAsia="Times New Roman" w:hAnsi="Calibri" w:cs="Calibri"/>
          <w:b/>
          <w:i/>
          <w:sz w:val="20"/>
          <w:szCs w:val="20"/>
          <w:lang w:eastAsia="sl-SI"/>
        </w:rPr>
        <w:t>109</w:t>
      </w:r>
      <w:r w:rsidRPr="00E02908">
        <w:rPr>
          <w:rFonts w:ascii="Calibri" w:eastAsia="Times New Roman" w:hAnsi="Calibri" w:cs="Calibri"/>
          <w:b/>
          <w:i/>
          <w:sz w:val="20"/>
          <w:szCs w:val="20"/>
          <w:lang w:eastAsia="sl-SI"/>
        </w:rPr>
        <w:t>, sklic 11 75817-7111002</w:t>
      </w:r>
    </w:p>
    <w:p w:rsidR="00AB4F0A" w:rsidRPr="00AB4F0A" w:rsidRDefault="00AB4F0A" w:rsidP="009307B4">
      <w:pPr>
        <w:spacing w:after="0"/>
        <w:rPr>
          <w:rFonts w:ascii="Calibri" w:hAnsi="Calibri" w:cs="Calibri"/>
          <w:b/>
          <w:i/>
        </w:rPr>
      </w:pPr>
    </w:p>
    <w:p w:rsidR="006D1D09" w:rsidRDefault="006D1D09" w:rsidP="006D1D09">
      <w:pPr>
        <w:spacing w:after="0"/>
        <w:rPr>
          <w:rFonts w:ascii="Calibri" w:hAnsi="Calibri" w:cs="Calibri"/>
          <w:i/>
        </w:rPr>
      </w:pPr>
    </w:p>
    <w:p w:rsidR="006D1D09" w:rsidRDefault="006D1D09" w:rsidP="006D1D09">
      <w:pPr>
        <w:spacing w:after="0"/>
        <w:rPr>
          <w:rFonts w:ascii="Calibri" w:hAnsi="Calibri" w:cs="Calibri"/>
          <w:i/>
        </w:rPr>
      </w:pPr>
    </w:p>
    <w:p w:rsidR="005B2E4F" w:rsidRDefault="005B2E4F" w:rsidP="00AE4F7A">
      <w:pPr>
        <w:spacing w:after="0"/>
        <w:jc w:val="both"/>
        <w:rPr>
          <w:rFonts w:ascii="Calibri" w:hAnsi="Calibri" w:cs="Calibri"/>
          <w:b/>
          <w:sz w:val="20"/>
          <w:szCs w:val="20"/>
          <w:u w:val="single"/>
        </w:rPr>
      </w:pPr>
    </w:p>
    <w:p w:rsidR="00EC78AE" w:rsidRDefault="00EC78AE" w:rsidP="00AE4F7A">
      <w:pPr>
        <w:spacing w:after="0"/>
        <w:jc w:val="both"/>
        <w:rPr>
          <w:rFonts w:ascii="Calibri" w:hAnsi="Calibri" w:cs="Calibri"/>
          <w:b/>
          <w:sz w:val="20"/>
          <w:szCs w:val="20"/>
          <w:u w:val="single"/>
        </w:rPr>
      </w:pPr>
      <w:r>
        <w:rPr>
          <w:rFonts w:ascii="Calibri" w:hAnsi="Calibri" w:cs="Calibri"/>
          <w:b/>
          <w:sz w:val="20"/>
          <w:szCs w:val="20"/>
          <w:u w:val="single"/>
        </w:rPr>
        <w:t>Priloge:</w:t>
      </w:r>
    </w:p>
    <w:p w:rsidR="00EC78AE" w:rsidRPr="00EC78AE" w:rsidRDefault="00EC78AE" w:rsidP="00EC78AE">
      <w:pPr>
        <w:pStyle w:val="Odstavekseznama"/>
        <w:numPr>
          <w:ilvl w:val="0"/>
          <w:numId w:val="1"/>
        </w:numPr>
        <w:spacing w:after="0"/>
        <w:jc w:val="both"/>
        <w:rPr>
          <w:rFonts w:ascii="Calibri" w:hAnsi="Calibri" w:cs="Calibri"/>
          <w:sz w:val="20"/>
          <w:szCs w:val="20"/>
        </w:rPr>
      </w:pPr>
      <w:r w:rsidRPr="00EC78AE">
        <w:rPr>
          <w:rFonts w:ascii="Calibri" w:hAnsi="Calibri" w:cs="Calibri"/>
          <w:sz w:val="20"/>
          <w:szCs w:val="20"/>
        </w:rPr>
        <w:t>Poročilo o emisiji hrupa v okolje (iz katerega morajo biti razvidni opis in shema nastavitve zvočne naprave na obratovalno električno moč, način pritrditve opisa in sheme na zvočno napravo, mesto namestitve posameznega zvočnika ter višino njegove namestitve glede na površino prostora, kjer poteka prireditev, in smeri glavnih osi zvočnikov.</w:t>
      </w:r>
    </w:p>
    <w:p w:rsidR="00EC78AE" w:rsidRDefault="00EC78AE" w:rsidP="00EC78AE">
      <w:pPr>
        <w:pStyle w:val="Odstavekseznama"/>
        <w:spacing w:after="0"/>
        <w:jc w:val="both"/>
        <w:rPr>
          <w:rFonts w:ascii="Calibri" w:hAnsi="Calibri" w:cs="Calibri"/>
          <w:b/>
          <w:sz w:val="20"/>
          <w:szCs w:val="20"/>
          <w:u w:val="single"/>
        </w:rPr>
      </w:pPr>
    </w:p>
    <w:p w:rsidR="00EC78AE" w:rsidRPr="00EC78AE" w:rsidRDefault="00EC78AE" w:rsidP="00EC78AE">
      <w:pPr>
        <w:pStyle w:val="Odstavekseznama"/>
        <w:spacing w:after="0"/>
        <w:jc w:val="both"/>
        <w:rPr>
          <w:rFonts w:ascii="Calibri" w:hAnsi="Calibri" w:cs="Calibri"/>
          <w:sz w:val="20"/>
          <w:szCs w:val="20"/>
        </w:rPr>
      </w:pPr>
      <w:r w:rsidRPr="00EC78AE">
        <w:rPr>
          <w:rFonts w:ascii="Calibri" w:hAnsi="Calibri" w:cs="Calibri"/>
          <w:sz w:val="20"/>
          <w:szCs w:val="20"/>
        </w:rPr>
        <w:t>Ali</w:t>
      </w:r>
    </w:p>
    <w:p w:rsidR="00EC78AE" w:rsidRDefault="00EC78AE" w:rsidP="00EC78AE">
      <w:pPr>
        <w:pStyle w:val="Odstavekseznama"/>
        <w:spacing w:after="0"/>
        <w:jc w:val="both"/>
        <w:rPr>
          <w:rFonts w:ascii="Calibri" w:hAnsi="Calibri" w:cs="Calibri"/>
          <w:b/>
          <w:sz w:val="20"/>
          <w:szCs w:val="20"/>
          <w:u w:val="single"/>
        </w:rPr>
      </w:pPr>
    </w:p>
    <w:p w:rsidR="00EC78AE" w:rsidRPr="00EC78AE" w:rsidRDefault="00EC78AE" w:rsidP="00EC78AE">
      <w:pPr>
        <w:pStyle w:val="Odstavekseznama"/>
        <w:numPr>
          <w:ilvl w:val="0"/>
          <w:numId w:val="1"/>
        </w:numPr>
        <w:spacing w:after="0"/>
        <w:jc w:val="both"/>
        <w:rPr>
          <w:rFonts w:ascii="Calibri" w:hAnsi="Calibri" w:cs="Calibri"/>
          <w:sz w:val="20"/>
          <w:szCs w:val="20"/>
        </w:rPr>
      </w:pPr>
      <w:r w:rsidRPr="00EC78AE">
        <w:rPr>
          <w:rFonts w:ascii="Calibri" w:hAnsi="Calibri" w:cs="Calibri"/>
          <w:sz w:val="20"/>
          <w:szCs w:val="20"/>
        </w:rPr>
        <w:t>Dokumentacija o nazivni električni moči in številu zvočnih naprav;</w:t>
      </w:r>
    </w:p>
    <w:p w:rsidR="00EC78AE" w:rsidRPr="00EC78AE" w:rsidRDefault="00EC78AE" w:rsidP="00EC78AE">
      <w:pPr>
        <w:pStyle w:val="Odstavekseznama"/>
        <w:numPr>
          <w:ilvl w:val="0"/>
          <w:numId w:val="1"/>
        </w:numPr>
        <w:spacing w:after="0"/>
        <w:jc w:val="both"/>
        <w:rPr>
          <w:rFonts w:ascii="Calibri" w:hAnsi="Calibri" w:cs="Calibri"/>
          <w:sz w:val="20"/>
          <w:szCs w:val="20"/>
        </w:rPr>
      </w:pPr>
      <w:r w:rsidRPr="00EC78AE">
        <w:rPr>
          <w:rFonts w:ascii="Calibri" w:hAnsi="Calibri" w:cs="Calibri"/>
          <w:sz w:val="20"/>
          <w:szCs w:val="20"/>
        </w:rPr>
        <w:t>Načrt prireditvenega prostora in njegove neposredne okolice v merilu 1:1000, na njem morajo biti označeni tlorisi najbližjih stavb z varovanimi prostori, ki od zvočnikov niso odddaljene več kot 600 m, in to v vseh smereh, ki od glavnih osi zvočnikov niso odklonjene več kot 45 kotnih stopinj.</w:t>
      </w:r>
    </w:p>
    <w:p w:rsidR="00EC78AE" w:rsidRDefault="00EC78AE" w:rsidP="00AE4F7A">
      <w:pPr>
        <w:spacing w:after="0"/>
        <w:jc w:val="both"/>
        <w:rPr>
          <w:rFonts w:ascii="Calibri" w:hAnsi="Calibri" w:cs="Calibri"/>
          <w:b/>
          <w:sz w:val="20"/>
          <w:szCs w:val="20"/>
          <w:u w:val="single"/>
        </w:rPr>
      </w:pPr>
    </w:p>
    <w:p w:rsidR="0006057F" w:rsidRDefault="00FA7CB2" w:rsidP="00AE4F7A">
      <w:pPr>
        <w:rPr>
          <w:rFonts w:ascii="Calibri" w:hAnsi="Calibri" w:cs="Calibri"/>
          <w:b/>
          <w:sz w:val="20"/>
          <w:szCs w:val="20"/>
          <w:u w:val="single"/>
        </w:rPr>
      </w:pPr>
      <w:r>
        <w:rPr>
          <w:rFonts w:ascii="Calibri" w:hAnsi="Calibri" w:cs="Calibri"/>
          <w:b/>
          <w:sz w:val="20"/>
          <w:szCs w:val="20"/>
          <w:u w:val="single"/>
        </w:rPr>
        <w:t>Obrazložitev:</w:t>
      </w:r>
    </w:p>
    <w:p w:rsidR="00FA7CB2" w:rsidRDefault="00FA7CB2" w:rsidP="00AE4F7A">
      <w:pPr>
        <w:rPr>
          <w:rFonts w:ascii="Calibri" w:hAnsi="Calibri" w:cs="Calibri"/>
          <w:sz w:val="20"/>
          <w:szCs w:val="20"/>
        </w:rPr>
      </w:pPr>
      <w:r>
        <w:rPr>
          <w:rFonts w:ascii="Calibri" w:hAnsi="Calibri" w:cs="Calibri"/>
          <w:b/>
          <w:sz w:val="20"/>
          <w:szCs w:val="20"/>
          <w:u w:val="single"/>
        </w:rPr>
        <w:t xml:space="preserve">Vloga mora biti vložena vsaj 30 dni pred začetkom prireditve. </w:t>
      </w:r>
    </w:p>
    <w:p w:rsidR="00FA7CB2" w:rsidRPr="00FA7CB2" w:rsidRDefault="00FA7CB2" w:rsidP="00FA7CB2">
      <w:pPr>
        <w:pStyle w:val="Odstavekseznama"/>
        <w:numPr>
          <w:ilvl w:val="0"/>
          <w:numId w:val="2"/>
        </w:numPr>
        <w:rPr>
          <w:rFonts w:ascii="Calibri" w:hAnsi="Calibri" w:cs="Calibri"/>
          <w:sz w:val="20"/>
          <w:szCs w:val="20"/>
        </w:rPr>
      </w:pPr>
      <w:r w:rsidRPr="00FA7CB2">
        <w:rPr>
          <w:rFonts w:ascii="Calibri" w:hAnsi="Calibri" w:cs="Calibri"/>
          <w:sz w:val="20"/>
          <w:szCs w:val="20"/>
        </w:rPr>
        <w:t xml:space="preserve">Dovoljenje se izda, če je iz </w:t>
      </w:r>
      <w:r w:rsidRPr="00FA7CB2">
        <w:rPr>
          <w:rFonts w:ascii="Calibri" w:hAnsi="Calibri" w:cs="Calibri"/>
          <w:b/>
          <w:sz w:val="20"/>
          <w:szCs w:val="20"/>
          <w:u w:val="single"/>
        </w:rPr>
        <w:t>poročila o emisiji hrupa</w:t>
      </w:r>
      <w:r w:rsidRPr="00FA7CB2">
        <w:rPr>
          <w:rFonts w:ascii="Calibri" w:hAnsi="Calibri" w:cs="Calibri"/>
          <w:sz w:val="20"/>
          <w:szCs w:val="20"/>
        </w:rPr>
        <w:t xml:space="preserve"> v okolje razvidno, da:</w:t>
      </w:r>
    </w:p>
    <w:p w:rsidR="00FA7CB2" w:rsidRPr="00FA7CB2" w:rsidRDefault="00FA7CB2" w:rsidP="00FA7CB2">
      <w:pPr>
        <w:pStyle w:val="Odstavekseznama"/>
        <w:numPr>
          <w:ilvl w:val="0"/>
          <w:numId w:val="3"/>
        </w:numPr>
        <w:rPr>
          <w:rFonts w:ascii="Calibri" w:hAnsi="Calibri" w:cs="Calibri"/>
          <w:sz w:val="20"/>
          <w:szCs w:val="20"/>
        </w:rPr>
      </w:pPr>
      <w:r w:rsidRPr="00FA7CB2">
        <w:rPr>
          <w:rFonts w:ascii="Calibri" w:hAnsi="Calibri" w:cs="Calibri"/>
          <w:sz w:val="20"/>
          <w:szCs w:val="20"/>
        </w:rPr>
        <w:t xml:space="preserve">bodo zvočne naprave nameščene in pritrjene tako, da se med prireditvijo ne bo spreminjala smer glavne osi zvočnikov ali razdalja med zvočniki in stavbami z varovanimi prostori, </w:t>
      </w:r>
    </w:p>
    <w:p w:rsidR="00FA7CB2" w:rsidRPr="00FA7CB2" w:rsidRDefault="00FA7CB2" w:rsidP="00FA7CB2">
      <w:pPr>
        <w:pStyle w:val="Odstavekseznama"/>
        <w:numPr>
          <w:ilvl w:val="0"/>
          <w:numId w:val="3"/>
        </w:numPr>
        <w:rPr>
          <w:rFonts w:ascii="Calibri" w:hAnsi="Calibri" w:cs="Calibri"/>
          <w:sz w:val="20"/>
          <w:szCs w:val="20"/>
        </w:rPr>
      </w:pPr>
      <w:r w:rsidRPr="00FA7CB2">
        <w:rPr>
          <w:rFonts w:ascii="Calibri" w:hAnsi="Calibri" w:cs="Calibri"/>
          <w:sz w:val="20"/>
          <w:szCs w:val="20"/>
        </w:rPr>
        <w:t xml:space="preserve">je nastavitev na obratovalno električno moč, za katero se zahteva izdaja dovoljenja za začasno čezmerno obremenitev okolja s hrupom, na zvočnih napravah vidna in čitljivo označena, </w:t>
      </w:r>
    </w:p>
    <w:p w:rsidR="00FA7CB2" w:rsidRPr="00FA7CB2" w:rsidRDefault="00FA7CB2" w:rsidP="00FA7CB2">
      <w:pPr>
        <w:pStyle w:val="Odstavekseznama"/>
        <w:numPr>
          <w:ilvl w:val="0"/>
          <w:numId w:val="3"/>
        </w:numPr>
        <w:rPr>
          <w:rFonts w:ascii="Calibri" w:hAnsi="Calibri" w:cs="Calibri"/>
          <w:sz w:val="20"/>
          <w:szCs w:val="20"/>
        </w:rPr>
      </w:pPr>
      <w:r w:rsidRPr="00FA7CB2">
        <w:rPr>
          <w:rFonts w:ascii="Calibri" w:hAnsi="Calibri" w:cs="Calibri"/>
          <w:sz w:val="20"/>
          <w:szCs w:val="20"/>
        </w:rPr>
        <w:t xml:space="preserve">se na prireditvi zvočne naprave ne bodo uporabljale več kakor osem ur, od tega največ štiri ure v času noči, pri čemer se za čas uporabe zvočnih naprav šteje celoten čas njihove uporabe od začetka do konca prireditve, vključno z vmesnimi prekinitvami, </w:t>
      </w:r>
    </w:p>
    <w:p w:rsidR="00FA7CB2" w:rsidRPr="00FA7CB2" w:rsidRDefault="00FA7CB2" w:rsidP="00FA7CB2">
      <w:pPr>
        <w:pStyle w:val="Odstavekseznama"/>
        <w:numPr>
          <w:ilvl w:val="0"/>
          <w:numId w:val="3"/>
        </w:numPr>
        <w:rPr>
          <w:rFonts w:ascii="Calibri" w:hAnsi="Calibri" w:cs="Calibri"/>
          <w:sz w:val="20"/>
          <w:szCs w:val="20"/>
        </w:rPr>
      </w:pPr>
      <w:r w:rsidRPr="00FA7CB2">
        <w:rPr>
          <w:rFonts w:ascii="Calibri" w:hAnsi="Calibri" w:cs="Calibri"/>
          <w:sz w:val="20"/>
          <w:szCs w:val="20"/>
        </w:rPr>
        <w:t xml:space="preserve">celotna raven zvočnega tlaka zaradi uporabe zvočne naprave na fasadi nobene od stavb z varovanimi prostori v vseh smereh in ves čas trajanja prireditve ne bo presegala kritičnih obremenitev iz 4. člena te uredbe, </w:t>
      </w:r>
    </w:p>
    <w:p w:rsidR="00FA7CB2" w:rsidRPr="00FA7CB2" w:rsidRDefault="00FA7CB2" w:rsidP="00FA7CB2">
      <w:pPr>
        <w:pStyle w:val="Odstavekseznama"/>
        <w:numPr>
          <w:ilvl w:val="0"/>
          <w:numId w:val="3"/>
        </w:numPr>
        <w:rPr>
          <w:rFonts w:ascii="Calibri" w:hAnsi="Calibri" w:cs="Calibri"/>
          <w:sz w:val="20"/>
          <w:szCs w:val="20"/>
        </w:rPr>
      </w:pPr>
      <w:r w:rsidRPr="00FA7CB2">
        <w:rPr>
          <w:rFonts w:ascii="Calibri" w:hAnsi="Calibri" w:cs="Calibri"/>
          <w:sz w:val="20"/>
          <w:szCs w:val="20"/>
        </w:rPr>
        <w:t xml:space="preserve">je predlog opisa in sheme nastavitve zvočne naprave na obratovalno električno moč in predlog njune pritrditve na zvočno napravo jasno opisan in izvedljiv in </w:t>
      </w:r>
    </w:p>
    <w:p w:rsidR="00FA7CB2" w:rsidRDefault="00FA7CB2" w:rsidP="00FA7CB2">
      <w:pPr>
        <w:pStyle w:val="Odstavekseznama"/>
        <w:numPr>
          <w:ilvl w:val="0"/>
          <w:numId w:val="3"/>
        </w:numPr>
        <w:rPr>
          <w:rFonts w:ascii="Calibri" w:hAnsi="Calibri" w:cs="Calibri"/>
          <w:sz w:val="20"/>
          <w:szCs w:val="20"/>
        </w:rPr>
      </w:pPr>
      <w:r w:rsidRPr="00FA7CB2">
        <w:rPr>
          <w:rFonts w:ascii="Calibri" w:hAnsi="Calibri" w:cs="Calibri"/>
          <w:sz w:val="20"/>
          <w:szCs w:val="20"/>
        </w:rPr>
        <w:t xml:space="preserve">so za primere iz sedmega odstavka tega člena opredeljena mesta, kjer bo organizator prireditve zagotovil izvajanje meritev hrupa, ki ga povzroča uporaba zvočnih naprav. </w:t>
      </w:r>
    </w:p>
    <w:p w:rsidR="00FA7CB2" w:rsidRPr="00FA7CB2" w:rsidRDefault="00FA7CB2" w:rsidP="00FA7CB2">
      <w:pPr>
        <w:rPr>
          <w:rFonts w:ascii="Calibri" w:hAnsi="Calibri" w:cs="Calibri"/>
          <w:sz w:val="20"/>
          <w:szCs w:val="20"/>
        </w:rPr>
      </w:pPr>
      <w:r>
        <w:rPr>
          <w:rFonts w:ascii="Calibri" w:hAnsi="Calibri" w:cs="Calibri"/>
          <w:sz w:val="20"/>
          <w:szCs w:val="20"/>
        </w:rPr>
        <w:t xml:space="preserve">(6. odstavek 6. Člena Uredbe o </w:t>
      </w:r>
      <w:r w:rsidRPr="00FA7CB2">
        <w:rPr>
          <w:rFonts w:ascii="Calibri" w:hAnsi="Calibri" w:cs="Calibri"/>
          <w:sz w:val="20"/>
          <w:szCs w:val="20"/>
        </w:rPr>
        <w:t>Uredbe o načinu uporab</w:t>
      </w:r>
      <w:r>
        <w:rPr>
          <w:rFonts w:ascii="Calibri" w:hAnsi="Calibri" w:cs="Calibri"/>
          <w:sz w:val="20"/>
          <w:szCs w:val="20"/>
        </w:rPr>
        <w:t xml:space="preserve">e zvočnih naprav, ki na shodih </w:t>
      </w:r>
      <w:r w:rsidRPr="00FA7CB2">
        <w:rPr>
          <w:rFonts w:ascii="Calibri" w:hAnsi="Calibri" w:cs="Calibri"/>
          <w:sz w:val="20"/>
          <w:szCs w:val="20"/>
        </w:rPr>
        <w:t>in prireditvah povzročajo hrup (Ur.l.RS, št. 118/2005)</w:t>
      </w:r>
      <w:r>
        <w:rPr>
          <w:rFonts w:ascii="Calibri" w:hAnsi="Calibri" w:cs="Calibri"/>
          <w:sz w:val="20"/>
          <w:szCs w:val="20"/>
        </w:rPr>
        <w:t>)</w:t>
      </w:r>
    </w:p>
    <w:p w:rsidR="00FA7CB2" w:rsidRPr="00FA7CB2" w:rsidRDefault="00FA7CB2" w:rsidP="00FA7CB2">
      <w:pPr>
        <w:rPr>
          <w:rFonts w:ascii="Calibri" w:hAnsi="Calibri" w:cs="Calibri"/>
          <w:sz w:val="20"/>
          <w:szCs w:val="20"/>
        </w:rPr>
      </w:pPr>
    </w:p>
    <w:p w:rsidR="00FA7CB2" w:rsidRPr="00FA7CB2" w:rsidRDefault="00FA7CB2" w:rsidP="00FA7CB2">
      <w:pPr>
        <w:pStyle w:val="Odstavekseznama"/>
        <w:numPr>
          <w:ilvl w:val="0"/>
          <w:numId w:val="2"/>
        </w:numPr>
        <w:rPr>
          <w:rFonts w:ascii="Calibri" w:hAnsi="Calibri" w:cs="Calibri"/>
          <w:sz w:val="20"/>
          <w:szCs w:val="20"/>
        </w:rPr>
      </w:pPr>
      <w:r w:rsidRPr="00FA7CB2">
        <w:rPr>
          <w:rFonts w:ascii="Calibri" w:hAnsi="Calibri" w:cs="Calibri"/>
          <w:sz w:val="20"/>
          <w:szCs w:val="20"/>
        </w:rPr>
        <w:t xml:space="preserve">Dovoljenje se izda, če je iz </w:t>
      </w:r>
      <w:r w:rsidRPr="00FA7CB2">
        <w:rPr>
          <w:rFonts w:ascii="Calibri" w:hAnsi="Calibri" w:cs="Calibri"/>
          <w:b/>
          <w:sz w:val="20"/>
          <w:szCs w:val="20"/>
          <w:u w:val="single"/>
        </w:rPr>
        <w:t>dokumentacije o nazivni električni moči ter načrta prireditvenega prostora in njegove neposredne okolice</w:t>
      </w:r>
      <w:r w:rsidRPr="00FA7CB2">
        <w:rPr>
          <w:rFonts w:ascii="Calibri" w:hAnsi="Calibri" w:cs="Calibri"/>
          <w:sz w:val="20"/>
          <w:szCs w:val="20"/>
        </w:rPr>
        <w:t xml:space="preserve"> razvidno, da:</w:t>
      </w:r>
    </w:p>
    <w:p w:rsidR="00FA7CB2" w:rsidRPr="00FA7CB2" w:rsidRDefault="00FA7CB2" w:rsidP="00FA7CB2">
      <w:pPr>
        <w:pStyle w:val="Odstavekseznama"/>
        <w:numPr>
          <w:ilvl w:val="0"/>
          <w:numId w:val="6"/>
        </w:numPr>
        <w:rPr>
          <w:rFonts w:ascii="Calibri" w:hAnsi="Calibri" w:cs="Calibri"/>
          <w:sz w:val="20"/>
          <w:szCs w:val="20"/>
        </w:rPr>
      </w:pPr>
      <w:r w:rsidRPr="00FA7CB2">
        <w:rPr>
          <w:rFonts w:ascii="Calibri" w:hAnsi="Calibri" w:cs="Calibri"/>
          <w:sz w:val="20"/>
          <w:szCs w:val="20"/>
        </w:rPr>
        <w:t xml:space="preserve">razdalja od zvočnikov do najbližjih stavb z varovanimi prostori ni manjša od razdalje, ki je za nazivno električno moč določena v Prilogi 2, ki je sestavni del te uredbe, in </w:t>
      </w:r>
    </w:p>
    <w:p w:rsidR="00FA7CB2" w:rsidRPr="00FA7CB2" w:rsidRDefault="00FA7CB2" w:rsidP="00FA7CB2">
      <w:pPr>
        <w:pStyle w:val="Odstavekseznama"/>
        <w:numPr>
          <w:ilvl w:val="0"/>
          <w:numId w:val="6"/>
        </w:numPr>
        <w:rPr>
          <w:rFonts w:ascii="Calibri" w:hAnsi="Calibri" w:cs="Calibri"/>
          <w:sz w:val="20"/>
          <w:szCs w:val="20"/>
        </w:rPr>
      </w:pPr>
      <w:r w:rsidRPr="00FA7CB2">
        <w:rPr>
          <w:rFonts w:ascii="Calibri" w:hAnsi="Calibri" w:cs="Calibri"/>
          <w:sz w:val="20"/>
          <w:szCs w:val="20"/>
        </w:rPr>
        <w:t>število vseh zvočnikov ni večje od šest.</w:t>
      </w:r>
    </w:p>
    <w:p w:rsidR="0062061D" w:rsidRDefault="00FA7CB2" w:rsidP="00FA7CB2">
      <w:pPr>
        <w:rPr>
          <w:rFonts w:ascii="Calibri" w:hAnsi="Calibri" w:cs="Calibri"/>
          <w:sz w:val="20"/>
          <w:szCs w:val="20"/>
        </w:rPr>
      </w:pPr>
      <w:r>
        <w:rPr>
          <w:rFonts w:ascii="Calibri" w:hAnsi="Calibri" w:cs="Calibri"/>
          <w:sz w:val="20"/>
          <w:szCs w:val="20"/>
        </w:rPr>
        <w:t xml:space="preserve">( 1. </w:t>
      </w:r>
      <w:r w:rsidRPr="00FA7CB2">
        <w:rPr>
          <w:rFonts w:ascii="Calibri" w:hAnsi="Calibri" w:cs="Calibri"/>
          <w:sz w:val="20"/>
          <w:szCs w:val="20"/>
        </w:rPr>
        <w:t>odstavek 8. člena Uredbe o Uredbe o načinu uporabe zvočnih naprav, ki na shodih in prireditvah povzročajo hrup (Ur.l.RS, št. 118/2005))</w:t>
      </w:r>
    </w:p>
    <w:p w:rsidR="0062061D" w:rsidRDefault="0062061D">
      <w:pPr>
        <w:rPr>
          <w:rFonts w:ascii="Calibri" w:hAnsi="Calibri" w:cs="Calibri"/>
          <w:sz w:val="20"/>
          <w:szCs w:val="20"/>
        </w:rPr>
      </w:pPr>
      <w:r>
        <w:rPr>
          <w:rFonts w:ascii="Calibri" w:hAnsi="Calibri" w:cs="Calibri"/>
          <w:sz w:val="20"/>
          <w:szCs w:val="20"/>
        </w:rPr>
        <w:br w:type="page"/>
      </w:r>
    </w:p>
    <w:p w:rsidR="0062061D" w:rsidRPr="00C4184E" w:rsidRDefault="0062061D" w:rsidP="0062061D">
      <w:pPr>
        <w:autoSpaceDE w:val="0"/>
        <w:autoSpaceDN w:val="0"/>
        <w:adjustRightInd w:val="0"/>
        <w:jc w:val="both"/>
        <w:rPr>
          <w:rFonts w:ascii="Calibri" w:hAnsi="Calibri" w:cs="Calibri"/>
          <w:bCs/>
          <w:sz w:val="18"/>
          <w:szCs w:val="18"/>
        </w:rPr>
      </w:pPr>
      <w:r w:rsidRPr="00C4184E">
        <w:rPr>
          <w:rFonts w:ascii="Calibri" w:hAnsi="Calibri" w:cs="Calibri"/>
          <w:bCs/>
          <w:sz w:val="18"/>
          <w:szCs w:val="18"/>
        </w:rPr>
        <w:lastRenderedPageBreak/>
        <w:t>INFORMACIJE O OBDELAVI OSEBNIH PODATKOV</w:t>
      </w:r>
    </w:p>
    <w:p w:rsidR="0062061D" w:rsidRPr="0062061D" w:rsidRDefault="0062061D" w:rsidP="0062061D">
      <w:pPr>
        <w:jc w:val="both"/>
        <w:rPr>
          <w:rFonts w:ascii="Calibri" w:hAnsi="Calibri" w:cs="Calibri"/>
          <w:sz w:val="18"/>
          <w:szCs w:val="18"/>
        </w:rPr>
      </w:pPr>
      <w:r w:rsidRPr="0062061D">
        <w:rPr>
          <w:rFonts w:ascii="Calibri" w:hAnsi="Calibri" w:cs="Calibri"/>
          <w:sz w:val="18"/>
          <w:szCs w:val="18"/>
        </w:rPr>
        <w:t xml:space="preserve">Občina Naklo bo osebne podatke obdelovala za namen </w:t>
      </w:r>
      <w:r>
        <w:rPr>
          <w:rFonts w:ascii="Calibri" w:hAnsi="Calibri" w:cs="Calibri"/>
          <w:sz w:val="18"/>
          <w:szCs w:val="18"/>
        </w:rPr>
        <w:t>izdaje</w:t>
      </w:r>
      <w:r w:rsidRPr="0062061D">
        <w:rPr>
          <w:rFonts w:ascii="Calibri" w:hAnsi="Calibri" w:cs="Calibri"/>
          <w:sz w:val="18"/>
          <w:szCs w:val="18"/>
        </w:rPr>
        <w:t xml:space="preserve"> dovoljenja za čezmerno obremenitev okolja s hrupom na podlagi</w:t>
      </w:r>
      <w:r>
        <w:rPr>
          <w:rFonts w:ascii="Calibri" w:hAnsi="Calibri" w:cs="Calibri"/>
          <w:sz w:val="18"/>
          <w:szCs w:val="18"/>
        </w:rPr>
        <w:t xml:space="preserve"> </w:t>
      </w:r>
      <w:r w:rsidRPr="0062061D">
        <w:rPr>
          <w:rFonts w:ascii="Calibri" w:hAnsi="Calibri" w:cs="Calibri"/>
          <w:sz w:val="18"/>
          <w:szCs w:val="18"/>
        </w:rPr>
        <w:t>Zakona o varstvu okolja</w:t>
      </w:r>
      <w:r>
        <w:rPr>
          <w:rFonts w:ascii="Calibri" w:hAnsi="Calibri" w:cs="Calibri"/>
          <w:sz w:val="18"/>
          <w:szCs w:val="18"/>
        </w:rPr>
        <w:t xml:space="preserve">, </w:t>
      </w:r>
      <w:r w:rsidRPr="0062061D">
        <w:rPr>
          <w:rFonts w:ascii="Calibri" w:hAnsi="Calibri" w:cs="Calibri"/>
          <w:sz w:val="18"/>
          <w:szCs w:val="18"/>
        </w:rPr>
        <w:t xml:space="preserve">Zakona o javnih zbiranjih </w:t>
      </w:r>
      <w:r>
        <w:rPr>
          <w:rFonts w:ascii="Calibri" w:hAnsi="Calibri" w:cs="Calibri"/>
          <w:sz w:val="18"/>
          <w:szCs w:val="18"/>
        </w:rPr>
        <w:t xml:space="preserve">ter </w:t>
      </w:r>
      <w:r w:rsidRPr="0062061D">
        <w:rPr>
          <w:rFonts w:ascii="Calibri" w:hAnsi="Calibri" w:cs="Calibri"/>
          <w:sz w:val="18"/>
          <w:szCs w:val="18"/>
        </w:rPr>
        <w:t>Uredbe o načinu uporabe zvočnih naprav, ki na shodih in prireditvah povzročajo hrup.</w:t>
      </w:r>
    </w:p>
    <w:p w:rsidR="0062061D" w:rsidRPr="00EA1979" w:rsidRDefault="0062061D" w:rsidP="0062061D">
      <w:pPr>
        <w:jc w:val="both"/>
        <w:rPr>
          <w:rFonts w:ascii="Calibri" w:hAnsi="Calibri" w:cs="Calibri"/>
        </w:rPr>
      </w:pPr>
      <w:r w:rsidRPr="00C4184E">
        <w:rPr>
          <w:rFonts w:ascii="Calibri" w:hAnsi="Calibri" w:cs="Calibri"/>
          <w:sz w:val="18"/>
          <w:szCs w:val="18"/>
        </w:rPr>
        <w:t xml:space="preserve">Občina Naklo bo osebne podatke obdelovala za namen izvedbe postopka obravnave vloge za 5-letno oprostitev plačevanja nadomestila za uporabo stavbnega zemljišča </w:t>
      </w:r>
      <w:r w:rsidRPr="00EA1979">
        <w:rPr>
          <w:rFonts w:ascii="Calibri" w:hAnsi="Calibri" w:cs="Calibri"/>
          <w:sz w:val="18"/>
          <w:szCs w:val="18"/>
        </w:rPr>
        <w:t xml:space="preserve">za poslovni objekt oz. spremljevalni namen </w:t>
      </w:r>
      <w:r w:rsidRPr="00C4184E">
        <w:rPr>
          <w:rFonts w:ascii="Calibri" w:hAnsi="Calibri" w:cs="Calibri"/>
          <w:sz w:val="18"/>
          <w:szCs w:val="18"/>
        </w:rPr>
        <w:t>na podlagi Odloka o nadomestilu za uporabo stavbnih zemljišč.</w:t>
      </w:r>
    </w:p>
    <w:p w:rsidR="0062061D" w:rsidRPr="00C4184E" w:rsidRDefault="0062061D" w:rsidP="0062061D">
      <w:pPr>
        <w:jc w:val="both"/>
        <w:rPr>
          <w:rFonts w:ascii="Calibri" w:hAnsi="Calibri" w:cs="Calibri"/>
          <w:sz w:val="18"/>
          <w:szCs w:val="18"/>
        </w:rPr>
      </w:pPr>
      <w:r w:rsidRPr="00C4184E">
        <w:rPr>
          <w:rFonts w:ascii="Calibri" w:hAnsi="Calibri" w:cs="Calibri"/>
          <w:sz w:val="18"/>
          <w:szCs w:val="18"/>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pri obdelavi osebnih podatkov s te vloge ne uporablja avtomatiziranega sprejemanja odločitev, vključno z oblikovanjem profilov. Zagotovitev podatkov je potrebna in zakonska obveznost, v kolikor osebni podatki ne bodo zagotovljeni, vloge ne bo možno obravnavati. Osebni podatki se NE prenašajo v tretje države ali mednarodne organizacije.</w:t>
      </w:r>
    </w:p>
    <w:p w:rsidR="0062061D" w:rsidRPr="00173119" w:rsidRDefault="0062061D" w:rsidP="0062061D">
      <w:pPr>
        <w:pStyle w:val="Brezrazmikov"/>
        <w:jc w:val="both"/>
        <w:rPr>
          <w:rFonts w:ascii="Calibri" w:eastAsiaTheme="minorHAnsi" w:hAnsi="Calibri" w:cs="Calibri"/>
          <w:sz w:val="18"/>
          <w:szCs w:val="18"/>
        </w:rPr>
      </w:pPr>
      <w:r w:rsidRPr="00173119">
        <w:rPr>
          <w:rFonts w:ascii="Calibri" w:eastAsiaTheme="minorHAnsi" w:hAnsi="Calibri" w:cs="Calibri"/>
          <w:sz w:val="18"/>
          <w:szCs w:val="18"/>
        </w:rPr>
        <w:t>Vlagatelj/ica ima glede osebnih podatkov, ki se nanašajo nanj/o, pravico seznanitve, dopolnitve, popravka, omejitve obdelave, izbrisa, prenosljivosti in ugovora (vključno s pravico do pritožbe pri Informacijskem pooblaščencu in sodnim varstvom pravic).</w:t>
      </w:r>
    </w:p>
    <w:p w:rsidR="00173119" w:rsidRDefault="00173119" w:rsidP="0062061D">
      <w:pPr>
        <w:jc w:val="both"/>
        <w:rPr>
          <w:rFonts w:ascii="Calibri" w:hAnsi="Calibri" w:cs="Calibri"/>
          <w:sz w:val="18"/>
          <w:szCs w:val="18"/>
        </w:rPr>
      </w:pPr>
    </w:p>
    <w:p w:rsidR="0062061D" w:rsidRPr="00A0676D" w:rsidRDefault="0062061D" w:rsidP="0062061D">
      <w:pPr>
        <w:jc w:val="both"/>
        <w:rPr>
          <w:rFonts w:ascii="Calibri" w:hAnsi="Calibri" w:cs="Calibri"/>
          <w:sz w:val="18"/>
          <w:szCs w:val="18"/>
        </w:rPr>
      </w:pPr>
      <w:r w:rsidRPr="00C4184E">
        <w:rPr>
          <w:rFonts w:ascii="Calibri" w:hAnsi="Calibri" w:cs="Calibri"/>
          <w:sz w:val="18"/>
          <w:szCs w:val="18"/>
        </w:rPr>
        <w:t>Podrobnejše informacije o tem, kako občina ravna z osebnimi podatki, so na voljo</w:t>
      </w:r>
      <w:r w:rsidRPr="00A0676D">
        <w:rPr>
          <w:rFonts w:ascii="Calibri" w:hAnsi="Calibri" w:cs="Calibri"/>
          <w:sz w:val="18"/>
          <w:szCs w:val="18"/>
        </w:rPr>
        <w:t xml:space="preserve"> na preko kontaktnih podatkov pooblaščene osebe za varstvo osebnih podatkov: e-pošta: </w:t>
      </w:r>
      <w:hyperlink r:id="rId8" w:history="1">
        <w:r w:rsidRPr="00A0676D">
          <w:rPr>
            <w:rFonts w:ascii="Calibri" w:hAnsi="Calibri" w:cs="Calibri"/>
            <w:sz w:val="18"/>
            <w:szCs w:val="18"/>
          </w:rPr>
          <w:t>dpo@virtuo.si</w:t>
        </w:r>
      </w:hyperlink>
      <w:r w:rsidRPr="00A0676D">
        <w:rPr>
          <w:rFonts w:ascii="Calibri" w:hAnsi="Calibri" w:cs="Calibri"/>
          <w:sz w:val="18"/>
          <w:szCs w:val="18"/>
        </w:rPr>
        <w:t xml:space="preserve"> </w:t>
      </w:r>
      <w:r>
        <w:rPr>
          <w:rFonts w:ascii="Calibri" w:hAnsi="Calibri" w:cs="Calibri"/>
          <w:sz w:val="18"/>
          <w:szCs w:val="18"/>
        </w:rPr>
        <w:t>.</w:t>
      </w:r>
    </w:p>
    <w:p w:rsidR="00FA7CB2" w:rsidRPr="00FA7CB2" w:rsidRDefault="00FA7CB2" w:rsidP="00FA7CB2">
      <w:pPr>
        <w:rPr>
          <w:rFonts w:ascii="Calibri" w:hAnsi="Calibri" w:cs="Calibri"/>
          <w:sz w:val="20"/>
          <w:szCs w:val="20"/>
        </w:rPr>
      </w:pPr>
    </w:p>
    <w:sectPr w:rsidR="00FA7CB2" w:rsidRPr="00FA7CB2" w:rsidSect="000C6177">
      <w:footerReference w:type="default" r:id="rId9"/>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B15" w:rsidRDefault="00267B15" w:rsidP="00FA7CB2">
      <w:pPr>
        <w:spacing w:after="0" w:line="240" w:lineRule="auto"/>
      </w:pPr>
      <w:r>
        <w:separator/>
      </w:r>
    </w:p>
  </w:endnote>
  <w:endnote w:type="continuationSeparator" w:id="0">
    <w:p w:rsidR="00267B15" w:rsidRDefault="00267B15" w:rsidP="00FA7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041894"/>
      <w:docPartObj>
        <w:docPartGallery w:val="Page Numbers (Bottom of Page)"/>
        <w:docPartUnique/>
      </w:docPartObj>
    </w:sdtPr>
    <w:sdtEndPr/>
    <w:sdtContent>
      <w:sdt>
        <w:sdtPr>
          <w:id w:val="860082579"/>
          <w:docPartObj>
            <w:docPartGallery w:val="Page Numbers (Top of Page)"/>
            <w:docPartUnique/>
          </w:docPartObj>
        </w:sdtPr>
        <w:sdtEndPr/>
        <w:sdtContent>
          <w:p w:rsidR="00FA7CB2" w:rsidRDefault="00FA7CB2">
            <w:pPr>
              <w:pStyle w:val="Noga"/>
              <w:jc w:val="right"/>
            </w:pPr>
            <w:r>
              <w:t xml:space="preserve">Stran </w:t>
            </w:r>
            <w:r>
              <w:rPr>
                <w:b/>
                <w:bCs/>
                <w:sz w:val="24"/>
                <w:szCs w:val="24"/>
              </w:rPr>
              <w:fldChar w:fldCharType="begin"/>
            </w:r>
            <w:r>
              <w:rPr>
                <w:b/>
                <w:bCs/>
              </w:rPr>
              <w:instrText>PAGE</w:instrText>
            </w:r>
            <w:r>
              <w:rPr>
                <w:b/>
                <w:bCs/>
                <w:sz w:val="24"/>
                <w:szCs w:val="24"/>
              </w:rPr>
              <w:fldChar w:fldCharType="separate"/>
            </w:r>
            <w:r w:rsidR="00103FF1">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103FF1">
              <w:rPr>
                <w:b/>
                <w:bCs/>
                <w:noProof/>
              </w:rPr>
              <w:t>3</w:t>
            </w:r>
            <w:r>
              <w:rPr>
                <w:b/>
                <w:bCs/>
                <w:sz w:val="24"/>
                <w:szCs w:val="24"/>
              </w:rPr>
              <w:fldChar w:fldCharType="end"/>
            </w:r>
          </w:p>
        </w:sdtContent>
      </w:sdt>
    </w:sdtContent>
  </w:sdt>
  <w:p w:rsidR="00FA7CB2" w:rsidRDefault="00FA7CB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B15" w:rsidRDefault="00267B15" w:rsidP="00FA7CB2">
      <w:pPr>
        <w:spacing w:after="0" w:line="240" w:lineRule="auto"/>
      </w:pPr>
      <w:r>
        <w:separator/>
      </w:r>
    </w:p>
  </w:footnote>
  <w:footnote w:type="continuationSeparator" w:id="0">
    <w:p w:rsidR="00267B15" w:rsidRDefault="00267B15" w:rsidP="00FA7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15198"/>
    <w:multiLevelType w:val="hybridMultilevel"/>
    <w:tmpl w:val="0E24C9DE"/>
    <w:lvl w:ilvl="0" w:tplc="2A4CEFD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F11AF0"/>
    <w:multiLevelType w:val="hybridMultilevel"/>
    <w:tmpl w:val="31FCFB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B85692"/>
    <w:multiLevelType w:val="hybridMultilevel"/>
    <w:tmpl w:val="64684D62"/>
    <w:lvl w:ilvl="0" w:tplc="2A4CEFD4">
      <w:numFmt w:val="bullet"/>
      <w:lvlText w:val="-"/>
      <w:lvlJc w:val="left"/>
      <w:pPr>
        <w:ind w:left="720" w:hanging="360"/>
      </w:pPr>
      <w:rPr>
        <w:rFonts w:ascii="Times New Roman" w:eastAsiaTheme="minorHAnsi" w:hAnsi="Times New Roman" w:cs="Times New Roman" w:hint="default"/>
      </w:rPr>
    </w:lvl>
    <w:lvl w:ilvl="1" w:tplc="1A50B746">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1C1278E"/>
    <w:multiLevelType w:val="hybridMultilevel"/>
    <w:tmpl w:val="B6EC230C"/>
    <w:lvl w:ilvl="0" w:tplc="3E940A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6DC033C"/>
    <w:multiLevelType w:val="hybridMultilevel"/>
    <w:tmpl w:val="8BF47492"/>
    <w:lvl w:ilvl="0" w:tplc="2A4CEFD4">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C8160F5"/>
    <w:multiLevelType w:val="hybridMultilevel"/>
    <w:tmpl w:val="C8E23C74"/>
    <w:lvl w:ilvl="0" w:tplc="2A4CEFD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6D80978"/>
    <w:multiLevelType w:val="hybridMultilevel"/>
    <w:tmpl w:val="E7C63512"/>
    <w:lvl w:ilvl="0" w:tplc="2A4CEFD4">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9E"/>
    <w:rsid w:val="0006057F"/>
    <w:rsid w:val="000C369E"/>
    <w:rsid w:val="000C6177"/>
    <w:rsid w:val="000E01CB"/>
    <w:rsid w:val="00103FF1"/>
    <w:rsid w:val="00173119"/>
    <w:rsid w:val="00267B15"/>
    <w:rsid w:val="00277089"/>
    <w:rsid w:val="005B2E4F"/>
    <w:rsid w:val="0062061D"/>
    <w:rsid w:val="00637246"/>
    <w:rsid w:val="00641539"/>
    <w:rsid w:val="006B39FD"/>
    <w:rsid w:val="006D1D09"/>
    <w:rsid w:val="008D765A"/>
    <w:rsid w:val="009307B4"/>
    <w:rsid w:val="00A27F26"/>
    <w:rsid w:val="00AB4F0A"/>
    <w:rsid w:val="00AE4F7A"/>
    <w:rsid w:val="00BA7CFE"/>
    <w:rsid w:val="00E02908"/>
    <w:rsid w:val="00EC78AE"/>
    <w:rsid w:val="00FA7CB2"/>
    <w:rsid w:val="00FC76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4772B-0D1E-47CC-B7BA-1D7FE01E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7CB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30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307B4"/>
    <w:pPr>
      <w:ind w:left="720"/>
      <w:contextualSpacing/>
    </w:pPr>
  </w:style>
  <w:style w:type="paragraph" w:styleId="Besedilooblaka">
    <w:name w:val="Balloon Text"/>
    <w:basedOn w:val="Navaden"/>
    <w:link w:val="BesedilooblakaZnak"/>
    <w:uiPriority w:val="99"/>
    <w:semiHidden/>
    <w:unhideWhenUsed/>
    <w:rsid w:val="009307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07B4"/>
    <w:rPr>
      <w:rFonts w:ascii="Tahoma" w:hAnsi="Tahoma" w:cs="Tahoma"/>
      <w:sz w:val="16"/>
      <w:szCs w:val="16"/>
    </w:rPr>
  </w:style>
  <w:style w:type="paragraph" w:styleId="Navadensplet">
    <w:name w:val="Normal (Web)"/>
    <w:basedOn w:val="Navaden"/>
    <w:uiPriority w:val="99"/>
    <w:semiHidden/>
    <w:unhideWhenUsed/>
    <w:rsid w:val="00AE4F7A"/>
    <w:rPr>
      <w:rFonts w:ascii="Times New Roman" w:hAnsi="Times New Roman" w:cs="Times New Roman"/>
      <w:sz w:val="24"/>
      <w:szCs w:val="24"/>
    </w:rPr>
  </w:style>
  <w:style w:type="paragraph" w:styleId="Glava">
    <w:name w:val="header"/>
    <w:basedOn w:val="Navaden"/>
    <w:link w:val="GlavaZnak"/>
    <w:uiPriority w:val="99"/>
    <w:unhideWhenUsed/>
    <w:rsid w:val="00FA7CB2"/>
    <w:pPr>
      <w:tabs>
        <w:tab w:val="center" w:pos="4536"/>
        <w:tab w:val="right" w:pos="9072"/>
      </w:tabs>
      <w:spacing w:after="0" w:line="240" w:lineRule="auto"/>
    </w:pPr>
  </w:style>
  <w:style w:type="character" w:customStyle="1" w:styleId="GlavaZnak">
    <w:name w:val="Glava Znak"/>
    <w:basedOn w:val="Privzetapisavaodstavka"/>
    <w:link w:val="Glava"/>
    <w:uiPriority w:val="99"/>
    <w:rsid w:val="00FA7CB2"/>
  </w:style>
  <w:style w:type="paragraph" w:styleId="Noga">
    <w:name w:val="footer"/>
    <w:basedOn w:val="Navaden"/>
    <w:link w:val="NogaZnak"/>
    <w:uiPriority w:val="99"/>
    <w:unhideWhenUsed/>
    <w:rsid w:val="00FA7CB2"/>
    <w:pPr>
      <w:tabs>
        <w:tab w:val="center" w:pos="4536"/>
        <w:tab w:val="right" w:pos="9072"/>
      </w:tabs>
      <w:spacing w:after="0" w:line="240" w:lineRule="auto"/>
    </w:pPr>
  </w:style>
  <w:style w:type="character" w:customStyle="1" w:styleId="NogaZnak">
    <w:name w:val="Noga Znak"/>
    <w:basedOn w:val="Privzetapisavaodstavka"/>
    <w:link w:val="Noga"/>
    <w:uiPriority w:val="99"/>
    <w:rsid w:val="00FA7CB2"/>
  </w:style>
  <w:style w:type="character" w:styleId="Hiperpovezava">
    <w:name w:val="Hyperlink"/>
    <w:semiHidden/>
    <w:unhideWhenUsed/>
    <w:rsid w:val="00277089"/>
    <w:rPr>
      <w:color w:val="0000FF"/>
      <w:u w:val="single"/>
    </w:rPr>
  </w:style>
  <w:style w:type="paragraph" w:styleId="Brezrazmikov">
    <w:name w:val="No Spacing"/>
    <w:qFormat/>
    <w:rsid w:val="0062061D"/>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16013">
      <w:bodyDiv w:val="1"/>
      <w:marLeft w:val="0"/>
      <w:marRight w:val="0"/>
      <w:marTop w:val="0"/>
      <w:marBottom w:val="0"/>
      <w:divBdr>
        <w:top w:val="none" w:sz="0" w:space="0" w:color="auto"/>
        <w:left w:val="none" w:sz="0" w:space="0" w:color="auto"/>
        <w:bottom w:val="none" w:sz="0" w:space="0" w:color="auto"/>
        <w:right w:val="none" w:sz="0" w:space="0" w:color="auto"/>
      </w:divBdr>
      <w:divsChild>
        <w:div w:id="127667649">
          <w:marLeft w:val="0"/>
          <w:marRight w:val="0"/>
          <w:marTop w:val="0"/>
          <w:marBottom w:val="0"/>
          <w:divBdr>
            <w:top w:val="none" w:sz="0" w:space="0" w:color="auto"/>
            <w:left w:val="none" w:sz="0" w:space="0" w:color="auto"/>
            <w:bottom w:val="none" w:sz="0" w:space="0" w:color="auto"/>
            <w:right w:val="none" w:sz="0" w:space="0" w:color="auto"/>
          </w:divBdr>
          <w:divsChild>
            <w:div w:id="1057557755">
              <w:marLeft w:val="0"/>
              <w:marRight w:val="60"/>
              <w:marTop w:val="0"/>
              <w:marBottom w:val="0"/>
              <w:divBdr>
                <w:top w:val="none" w:sz="0" w:space="0" w:color="auto"/>
                <w:left w:val="none" w:sz="0" w:space="0" w:color="auto"/>
                <w:bottom w:val="none" w:sz="0" w:space="0" w:color="auto"/>
                <w:right w:val="none" w:sz="0" w:space="0" w:color="auto"/>
              </w:divBdr>
              <w:divsChild>
                <w:div w:id="708840303">
                  <w:marLeft w:val="0"/>
                  <w:marRight w:val="0"/>
                  <w:marTop w:val="0"/>
                  <w:marBottom w:val="150"/>
                  <w:divBdr>
                    <w:top w:val="none" w:sz="0" w:space="0" w:color="auto"/>
                    <w:left w:val="none" w:sz="0" w:space="0" w:color="auto"/>
                    <w:bottom w:val="none" w:sz="0" w:space="0" w:color="auto"/>
                    <w:right w:val="none" w:sz="0" w:space="0" w:color="auto"/>
                  </w:divBdr>
                  <w:divsChild>
                    <w:div w:id="1622036677">
                      <w:marLeft w:val="0"/>
                      <w:marRight w:val="0"/>
                      <w:marTop w:val="0"/>
                      <w:marBottom w:val="0"/>
                      <w:divBdr>
                        <w:top w:val="none" w:sz="0" w:space="0" w:color="auto"/>
                        <w:left w:val="none" w:sz="0" w:space="0" w:color="auto"/>
                        <w:bottom w:val="none" w:sz="0" w:space="0" w:color="auto"/>
                        <w:right w:val="none" w:sz="0" w:space="0" w:color="auto"/>
                      </w:divBdr>
                      <w:divsChild>
                        <w:div w:id="156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384300">
      <w:bodyDiv w:val="1"/>
      <w:marLeft w:val="0"/>
      <w:marRight w:val="0"/>
      <w:marTop w:val="0"/>
      <w:marBottom w:val="0"/>
      <w:divBdr>
        <w:top w:val="none" w:sz="0" w:space="0" w:color="auto"/>
        <w:left w:val="none" w:sz="0" w:space="0" w:color="auto"/>
        <w:bottom w:val="none" w:sz="0" w:space="0" w:color="auto"/>
        <w:right w:val="none" w:sz="0" w:space="0" w:color="auto"/>
      </w:divBdr>
      <w:divsChild>
        <w:div w:id="1581983527">
          <w:marLeft w:val="0"/>
          <w:marRight w:val="0"/>
          <w:marTop w:val="0"/>
          <w:marBottom w:val="0"/>
          <w:divBdr>
            <w:top w:val="none" w:sz="0" w:space="0" w:color="auto"/>
            <w:left w:val="none" w:sz="0" w:space="0" w:color="auto"/>
            <w:bottom w:val="none" w:sz="0" w:space="0" w:color="auto"/>
            <w:right w:val="none" w:sz="0" w:space="0" w:color="auto"/>
          </w:divBdr>
          <w:divsChild>
            <w:div w:id="498815571">
              <w:marLeft w:val="0"/>
              <w:marRight w:val="60"/>
              <w:marTop w:val="0"/>
              <w:marBottom w:val="0"/>
              <w:divBdr>
                <w:top w:val="none" w:sz="0" w:space="0" w:color="auto"/>
                <w:left w:val="none" w:sz="0" w:space="0" w:color="auto"/>
                <w:bottom w:val="none" w:sz="0" w:space="0" w:color="auto"/>
                <w:right w:val="none" w:sz="0" w:space="0" w:color="auto"/>
              </w:divBdr>
              <w:divsChild>
                <w:div w:id="2080899676">
                  <w:marLeft w:val="0"/>
                  <w:marRight w:val="0"/>
                  <w:marTop w:val="0"/>
                  <w:marBottom w:val="150"/>
                  <w:divBdr>
                    <w:top w:val="none" w:sz="0" w:space="0" w:color="auto"/>
                    <w:left w:val="none" w:sz="0" w:space="0" w:color="auto"/>
                    <w:bottom w:val="none" w:sz="0" w:space="0" w:color="auto"/>
                    <w:right w:val="none" w:sz="0" w:space="0" w:color="auto"/>
                  </w:divBdr>
                  <w:divsChild>
                    <w:div w:id="270746011">
                      <w:marLeft w:val="0"/>
                      <w:marRight w:val="0"/>
                      <w:marTop w:val="0"/>
                      <w:marBottom w:val="0"/>
                      <w:divBdr>
                        <w:top w:val="none" w:sz="0" w:space="0" w:color="auto"/>
                        <w:left w:val="none" w:sz="0" w:space="0" w:color="auto"/>
                        <w:bottom w:val="none" w:sz="0" w:space="0" w:color="auto"/>
                        <w:right w:val="none" w:sz="0" w:space="0" w:color="auto"/>
                      </w:divBdr>
                      <w:divsChild>
                        <w:div w:id="20154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367159">
      <w:bodyDiv w:val="1"/>
      <w:marLeft w:val="0"/>
      <w:marRight w:val="0"/>
      <w:marTop w:val="0"/>
      <w:marBottom w:val="0"/>
      <w:divBdr>
        <w:top w:val="none" w:sz="0" w:space="0" w:color="auto"/>
        <w:left w:val="none" w:sz="0" w:space="0" w:color="auto"/>
        <w:bottom w:val="none" w:sz="0" w:space="0" w:color="auto"/>
        <w:right w:val="none" w:sz="0" w:space="0" w:color="auto"/>
      </w:divBdr>
      <w:divsChild>
        <w:div w:id="2015263184">
          <w:marLeft w:val="0"/>
          <w:marRight w:val="0"/>
          <w:marTop w:val="0"/>
          <w:marBottom w:val="0"/>
          <w:divBdr>
            <w:top w:val="none" w:sz="0" w:space="0" w:color="auto"/>
            <w:left w:val="none" w:sz="0" w:space="0" w:color="auto"/>
            <w:bottom w:val="none" w:sz="0" w:space="0" w:color="auto"/>
            <w:right w:val="none" w:sz="0" w:space="0" w:color="auto"/>
          </w:divBdr>
          <w:divsChild>
            <w:div w:id="1514418833">
              <w:marLeft w:val="0"/>
              <w:marRight w:val="60"/>
              <w:marTop w:val="0"/>
              <w:marBottom w:val="0"/>
              <w:divBdr>
                <w:top w:val="none" w:sz="0" w:space="0" w:color="auto"/>
                <w:left w:val="none" w:sz="0" w:space="0" w:color="auto"/>
                <w:bottom w:val="none" w:sz="0" w:space="0" w:color="auto"/>
                <w:right w:val="none" w:sz="0" w:space="0" w:color="auto"/>
              </w:divBdr>
              <w:divsChild>
                <w:div w:id="1485924432">
                  <w:marLeft w:val="0"/>
                  <w:marRight w:val="0"/>
                  <w:marTop w:val="0"/>
                  <w:marBottom w:val="150"/>
                  <w:divBdr>
                    <w:top w:val="none" w:sz="0" w:space="0" w:color="auto"/>
                    <w:left w:val="none" w:sz="0" w:space="0" w:color="auto"/>
                    <w:bottom w:val="none" w:sz="0" w:space="0" w:color="auto"/>
                    <w:right w:val="none" w:sz="0" w:space="0" w:color="auto"/>
                  </w:divBdr>
                  <w:divsChild>
                    <w:div w:id="1988824991">
                      <w:marLeft w:val="0"/>
                      <w:marRight w:val="0"/>
                      <w:marTop w:val="0"/>
                      <w:marBottom w:val="0"/>
                      <w:divBdr>
                        <w:top w:val="none" w:sz="0" w:space="0" w:color="auto"/>
                        <w:left w:val="none" w:sz="0" w:space="0" w:color="auto"/>
                        <w:bottom w:val="none" w:sz="0" w:space="0" w:color="auto"/>
                        <w:right w:val="none" w:sz="0" w:space="0" w:color="auto"/>
                      </w:divBdr>
                      <w:divsChild>
                        <w:div w:id="19637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230036">
      <w:bodyDiv w:val="1"/>
      <w:marLeft w:val="0"/>
      <w:marRight w:val="0"/>
      <w:marTop w:val="0"/>
      <w:marBottom w:val="0"/>
      <w:divBdr>
        <w:top w:val="none" w:sz="0" w:space="0" w:color="auto"/>
        <w:left w:val="none" w:sz="0" w:space="0" w:color="auto"/>
        <w:bottom w:val="none" w:sz="0" w:space="0" w:color="auto"/>
        <w:right w:val="none" w:sz="0" w:space="0" w:color="auto"/>
      </w:divBdr>
    </w:div>
    <w:div w:id="1754012384">
      <w:bodyDiv w:val="1"/>
      <w:marLeft w:val="0"/>
      <w:marRight w:val="0"/>
      <w:marTop w:val="0"/>
      <w:marBottom w:val="0"/>
      <w:divBdr>
        <w:top w:val="none" w:sz="0" w:space="0" w:color="auto"/>
        <w:left w:val="none" w:sz="0" w:space="0" w:color="auto"/>
        <w:bottom w:val="none" w:sz="0" w:space="0" w:color="auto"/>
        <w:right w:val="none" w:sz="0" w:space="0" w:color="auto"/>
      </w:divBdr>
      <w:divsChild>
        <w:div w:id="1716468766">
          <w:marLeft w:val="0"/>
          <w:marRight w:val="0"/>
          <w:marTop w:val="0"/>
          <w:marBottom w:val="0"/>
          <w:divBdr>
            <w:top w:val="none" w:sz="0" w:space="0" w:color="auto"/>
            <w:left w:val="none" w:sz="0" w:space="0" w:color="auto"/>
            <w:bottom w:val="none" w:sz="0" w:space="0" w:color="auto"/>
            <w:right w:val="none" w:sz="0" w:space="0" w:color="auto"/>
          </w:divBdr>
          <w:divsChild>
            <w:div w:id="296104519">
              <w:marLeft w:val="0"/>
              <w:marRight w:val="60"/>
              <w:marTop w:val="0"/>
              <w:marBottom w:val="0"/>
              <w:divBdr>
                <w:top w:val="none" w:sz="0" w:space="0" w:color="auto"/>
                <w:left w:val="none" w:sz="0" w:space="0" w:color="auto"/>
                <w:bottom w:val="none" w:sz="0" w:space="0" w:color="auto"/>
                <w:right w:val="none" w:sz="0" w:space="0" w:color="auto"/>
              </w:divBdr>
              <w:divsChild>
                <w:div w:id="1297755213">
                  <w:marLeft w:val="0"/>
                  <w:marRight w:val="0"/>
                  <w:marTop w:val="0"/>
                  <w:marBottom w:val="150"/>
                  <w:divBdr>
                    <w:top w:val="none" w:sz="0" w:space="0" w:color="auto"/>
                    <w:left w:val="none" w:sz="0" w:space="0" w:color="auto"/>
                    <w:bottom w:val="none" w:sz="0" w:space="0" w:color="auto"/>
                    <w:right w:val="none" w:sz="0" w:space="0" w:color="auto"/>
                  </w:divBdr>
                  <w:divsChild>
                    <w:div w:id="700128266">
                      <w:marLeft w:val="0"/>
                      <w:marRight w:val="0"/>
                      <w:marTop w:val="0"/>
                      <w:marBottom w:val="0"/>
                      <w:divBdr>
                        <w:top w:val="none" w:sz="0" w:space="0" w:color="auto"/>
                        <w:left w:val="none" w:sz="0" w:space="0" w:color="auto"/>
                        <w:bottom w:val="none" w:sz="0" w:space="0" w:color="auto"/>
                        <w:right w:val="none" w:sz="0" w:space="0" w:color="auto"/>
                      </w:divBdr>
                      <w:divsChild>
                        <w:div w:id="1403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24219">
      <w:bodyDiv w:val="1"/>
      <w:marLeft w:val="0"/>
      <w:marRight w:val="0"/>
      <w:marTop w:val="0"/>
      <w:marBottom w:val="0"/>
      <w:divBdr>
        <w:top w:val="none" w:sz="0" w:space="0" w:color="auto"/>
        <w:left w:val="none" w:sz="0" w:space="0" w:color="auto"/>
        <w:bottom w:val="none" w:sz="0" w:space="0" w:color="auto"/>
        <w:right w:val="none" w:sz="0" w:space="0" w:color="auto"/>
      </w:divBdr>
      <w:divsChild>
        <w:div w:id="394741818">
          <w:marLeft w:val="0"/>
          <w:marRight w:val="0"/>
          <w:marTop w:val="0"/>
          <w:marBottom w:val="0"/>
          <w:divBdr>
            <w:top w:val="none" w:sz="0" w:space="0" w:color="auto"/>
            <w:left w:val="none" w:sz="0" w:space="0" w:color="auto"/>
            <w:bottom w:val="none" w:sz="0" w:space="0" w:color="auto"/>
            <w:right w:val="none" w:sz="0" w:space="0" w:color="auto"/>
          </w:divBdr>
          <w:divsChild>
            <w:div w:id="1803840630">
              <w:marLeft w:val="0"/>
              <w:marRight w:val="60"/>
              <w:marTop w:val="0"/>
              <w:marBottom w:val="0"/>
              <w:divBdr>
                <w:top w:val="none" w:sz="0" w:space="0" w:color="auto"/>
                <w:left w:val="none" w:sz="0" w:space="0" w:color="auto"/>
                <w:bottom w:val="none" w:sz="0" w:space="0" w:color="auto"/>
                <w:right w:val="none" w:sz="0" w:space="0" w:color="auto"/>
              </w:divBdr>
              <w:divsChild>
                <w:div w:id="1291596236">
                  <w:marLeft w:val="0"/>
                  <w:marRight w:val="0"/>
                  <w:marTop w:val="0"/>
                  <w:marBottom w:val="150"/>
                  <w:divBdr>
                    <w:top w:val="none" w:sz="0" w:space="0" w:color="auto"/>
                    <w:left w:val="none" w:sz="0" w:space="0" w:color="auto"/>
                    <w:bottom w:val="none" w:sz="0" w:space="0" w:color="auto"/>
                    <w:right w:val="none" w:sz="0" w:space="0" w:color="auto"/>
                  </w:divBdr>
                  <w:divsChild>
                    <w:div w:id="868493130">
                      <w:marLeft w:val="0"/>
                      <w:marRight w:val="0"/>
                      <w:marTop w:val="0"/>
                      <w:marBottom w:val="0"/>
                      <w:divBdr>
                        <w:top w:val="none" w:sz="0" w:space="0" w:color="auto"/>
                        <w:left w:val="none" w:sz="0" w:space="0" w:color="auto"/>
                        <w:bottom w:val="none" w:sz="0" w:space="0" w:color="auto"/>
                        <w:right w:val="none" w:sz="0" w:space="0" w:color="auto"/>
                      </w:divBdr>
                      <w:divsChild>
                        <w:div w:id="19895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843</Words>
  <Characters>4809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Obcina Naklo</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dc:creator>
  <cp:keywords/>
  <dc:description/>
  <cp:lastModifiedBy>Bojana Umnik</cp:lastModifiedBy>
  <cp:revision>18</cp:revision>
  <cp:lastPrinted>2016-05-19T12:16:00Z</cp:lastPrinted>
  <dcterms:created xsi:type="dcterms:W3CDTF">2011-07-12T11:59:00Z</dcterms:created>
  <dcterms:modified xsi:type="dcterms:W3CDTF">2021-04-01T07:43:00Z</dcterms:modified>
</cp:coreProperties>
</file>